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87A1FD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970AE6">
              <w:rPr>
                <w:rFonts w:cstheme="minorHAnsi"/>
                <w:b/>
                <w:bCs/>
              </w:rPr>
              <w:t xml:space="preserve"> </w:t>
            </w:r>
            <w:r w:rsidR="00970AE6" w:rsidRPr="00970AE6">
              <w:rPr>
                <w:rFonts w:cstheme="minorHAnsi"/>
                <w:b/>
                <w:bCs/>
              </w:rPr>
              <w:t>Ablação de Taquicardia Supraventricular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490AB2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970AE6" w:rsidRPr="00970AE6">
        <w:rPr>
          <w:rFonts w:cstheme="minorHAnsi"/>
          <w:b/>
          <w:bCs/>
        </w:rPr>
        <w:t>Ablação de Taquicardia Supraventricular</w:t>
      </w:r>
      <w:r w:rsidR="00970AE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7242E3C" w14:textId="0FF3C21D" w:rsid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  <w:b/>
          <w:bCs/>
        </w:rPr>
        <w:t>DIAGNÓSTICO</w:t>
      </w:r>
      <w:r w:rsidRPr="00970AE6">
        <w:rPr>
          <w:rFonts w:cstheme="minorHAnsi"/>
        </w:rPr>
        <w:t>:  Taquicardia supraventricular</w:t>
      </w:r>
    </w:p>
    <w:p w14:paraId="156A95E6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</w:p>
    <w:p w14:paraId="1D9BE082" w14:textId="77777777" w:rsid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  <w:b/>
          <w:bCs/>
        </w:rPr>
        <w:t>DEFINIÇÃO DO PROCEDIMENTO:</w:t>
      </w:r>
      <w:r w:rsidRPr="00970AE6">
        <w:rPr>
          <w:rFonts w:cstheme="minorHAnsi"/>
        </w:rPr>
        <w:t xml:space="preserve"> </w:t>
      </w:r>
      <w:r w:rsidRPr="00970AE6">
        <w:rPr>
          <w:rFonts w:cstheme="minorHAnsi"/>
          <w:color w:val="525252"/>
          <w:shd w:val="clear" w:color="auto" w:fill="FFFFFF"/>
        </w:rPr>
        <w:t> </w:t>
      </w:r>
      <w:r w:rsidRPr="00970AE6">
        <w:rPr>
          <w:rFonts w:cstheme="minorHAnsi"/>
        </w:rPr>
        <w:t>Este procedimento consiste na localização exata da arritmia, possibilitando a criação precisa e controlada de lesões no coração através da energia de radio-frequência.</w:t>
      </w:r>
    </w:p>
    <w:p w14:paraId="333E00BB" w14:textId="77777777" w:rsid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  <w:b/>
          <w:bCs/>
        </w:rPr>
      </w:pPr>
    </w:p>
    <w:p w14:paraId="25731FD6" w14:textId="0000A170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  <w:b/>
          <w:bCs/>
        </w:rPr>
        <w:t>RISCOS, COMPLICAÇÕES</w:t>
      </w:r>
      <w:r w:rsidRPr="00970AE6">
        <w:rPr>
          <w:rFonts w:cstheme="minorHAnsi"/>
        </w:rPr>
        <w:t xml:space="preserve">: </w:t>
      </w:r>
      <w:r w:rsidRPr="00970AE6">
        <w:rPr>
          <w:rFonts w:cstheme="minorHAnsi"/>
          <w:b/>
        </w:rPr>
        <w:t xml:space="preserve"> </w:t>
      </w:r>
    </w:p>
    <w:p w14:paraId="4C990884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  <w:b/>
        </w:rPr>
      </w:pPr>
      <w:r w:rsidRPr="00970AE6">
        <w:rPr>
          <w:rFonts w:cstheme="minorHAnsi"/>
          <w:u w:val="single"/>
        </w:rPr>
        <w:t>Complicações mais comuns</w:t>
      </w:r>
    </w:p>
    <w:p w14:paraId="25E89D80" w14:textId="7F49465F" w:rsidR="00970AE6" w:rsidRPr="00970AE6" w:rsidRDefault="00970AE6" w:rsidP="00970AE6">
      <w:pPr>
        <w:pStyle w:val="PargrafodaLista"/>
        <w:numPr>
          <w:ilvl w:val="0"/>
          <w:numId w:val="1"/>
        </w:numPr>
        <w:spacing w:after="0" w:line="240" w:lineRule="auto"/>
        <w:ind w:right="-994"/>
        <w:jc w:val="both"/>
        <w:rPr>
          <w:rFonts w:cstheme="minorHAnsi"/>
        </w:rPr>
      </w:pPr>
      <w:r w:rsidRPr="00970AE6">
        <w:rPr>
          <w:rFonts w:cstheme="minorHAnsi"/>
        </w:rPr>
        <w:t>Hematoma discreto na região da virilha</w:t>
      </w:r>
    </w:p>
    <w:p w14:paraId="67EF0067" w14:textId="40DAAF6F" w:rsidR="00970AE6" w:rsidRPr="00970AE6" w:rsidRDefault="00970AE6" w:rsidP="00970AE6">
      <w:pPr>
        <w:pStyle w:val="PargrafodaLista"/>
        <w:numPr>
          <w:ilvl w:val="0"/>
          <w:numId w:val="1"/>
        </w:numPr>
        <w:spacing w:after="0" w:line="240" w:lineRule="auto"/>
        <w:ind w:right="-994"/>
        <w:jc w:val="both"/>
        <w:rPr>
          <w:rFonts w:cstheme="minorHAnsi"/>
        </w:rPr>
      </w:pPr>
      <w:r w:rsidRPr="00970AE6">
        <w:rPr>
          <w:rFonts w:cstheme="minorHAnsi"/>
        </w:rPr>
        <w:t>Desconforto leve no peito</w:t>
      </w:r>
    </w:p>
    <w:p w14:paraId="56EF6581" w14:textId="44A1B53B" w:rsidR="00970AE6" w:rsidRPr="00970AE6" w:rsidRDefault="00970AE6" w:rsidP="00970AE6">
      <w:pPr>
        <w:pStyle w:val="PargrafodaLista"/>
        <w:numPr>
          <w:ilvl w:val="0"/>
          <w:numId w:val="1"/>
        </w:numPr>
        <w:spacing w:after="0" w:line="240" w:lineRule="auto"/>
        <w:ind w:right="-994"/>
        <w:jc w:val="both"/>
        <w:rPr>
          <w:rFonts w:cstheme="minorHAnsi"/>
        </w:rPr>
      </w:pPr>
      <w:r w:rsidRPr="00970AE6">
        <w:rPr>
          <w:rFonts w:cstheme="minorHAnsi"/>
        </w:rPr>
        <w:t>Palpitações</w:t>
      </w:r>
    </w:p>
    <w:p w14:paraId="3915E9E5" w14:textId="2C50204B" w:rsid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</w:rPr>
        <w:lastRenderedPageBreak/>
        <w:t>Geralmente esses desconfortos têm uma resolução rápida.</w:t>
      </w:r>
    </w:p>
    <w:p w14:paraId="18F3A674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</w:p>
    <w:p w14:paraId="18BABC7A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  <w:u w:val="single"/>
        </w:rPr>
      </w:pPr>
      <w:r w:rsidRPr="00970AE6">
        <w:rPr>
          <w:rFonts w:cstheme="minorHAnsi"/>
          <w:u w:val="single"/>
        </w:rPr>
        <w:t>Complicações menos comuns</w:t>
      </w:r>
    </w:p>
    <w:p w14:paraId="4EDD5655" w14:textId="0C8F0599" w:rsidR="00970AE6" w:rsidRPr="00970AE6" w:rsidRDefault="00970AE6" w:rsidP="00970AE6">
      <w:pPr>
        <w:pStyle w:val="PargrafodaLista"/>
        <w:numPr>
          <w:ilvl w:val="0"/>
          <w:numId w:val="2"/>
        </w:numPr>
        <w:spacing w:after="0" w:line="240" w:lineRule="auto"/>
        <w:ind w:right="-994"/>
        <w:jc w:val="both"/>
        <w:rPr>
          <w:rFonts w:cstheme="minorHAnsi"/>
        </w:rPr>
      </w:pPr>
      <w:r w:rsidRPr="00970AE6">
        <w:rPr>
          <w:rFonts w:cstheme="minorHAnsi"/>
        </w:rPr>
        <w:t xml:space="preserve">Nos casos em que a arritmia se origina próximo ao sistema de condução normal, existe um riso entre 0,3% e 0,7% de bloqueio da condução elétrica com necessidade de implante de marca-passo definitivo. Recentemente, em um grande estudo internacional, não houve casos de bloqueio do sistema de condução. </w:t>
      </w:r>
    </w:p>
    <w:p w14:paraId="1C45D5B2" w14:textId="6F8373E0" w:rsidR="00970AE6" w:rsidRPr="00970AE6" w:rsidRDefault="00970AE6" w:rsidP="00970AE6">
      <w:pPr>
        <w:pStyle w:val="PargrafodaLista"/>
        <w:numPr>
          <w:ilvl w:val="0"/>
          <w:numId w:val="2"/>
        </w:numPr>
        <w:spacing w:after="0" w:line="240" w:lineRule="auto"/>
        <w:ind w:right="-994"/>
        <w:jc w:val="both"/>
        <w:rPr>
          <w:rFonts w:cstheme="minorHAnsi"/>
        </w:rPr>
      </w:pPr>
      <w:r w:rsidRPr="00970AE6">
        <w:rPr>
          <w:rFonts w:cstheme="minorHAnsi"/>
        </w:rPr>
        <w:t xml:space="preserve">Outros riscos são inerentes à localização da arritmia e seu médico irá discutir com você sobre essas possibilidades. </w:t>
      </w:r>
    </w:p>
    <w:p w14:paraId="3E23C6D6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</w:p>
    <w:p w14:paraId="7D8FC9EB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  <w:u w:val="single"/>
        </w:rPr>
      </w:pPr>
      <w:r w:rsidRPr="00970AE6">
        <w:rPr>
          <w:rFonts w:cstheme="minorHAnsi"/>
          <w:u w:val="single"/>
        </w:rPr>
        <w:t>Sinais e sintomas de alerta</w:t>
      </w:r>
    </w:p>
    <w:p w14:paraId="104235D5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</w:rPr>
        <w:t>Qualquer desconforto ou sintoma devem ser reportados ao seu médico ou membro da equipe.</w:t>
      </w:r>
    </w:p>
    <w:p w14:paraId="5717F0CA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</w:p>
    <w:p w14:paraId="2D68AB8B" w14:textId="2389AF11" w:rsidR="002E5E49" w:rsidRPr="00970AE6" w:rsidRDefault="00970AE6" w:rsidP="002E5E49">
      <w:pPr>
        <w:spacing w:after="0" w:line="240" w:lineRule="auto"/>
        <w:ind w:left="-567" w:right="-994"/>
        <w:jc w:val="both"/>
        <w:rPr>
          <w:rFonts w:cstheme="minorHAnsi"/>
          <w:b/>
        </w:rPr>
      </w:pPr>
      <w:r w:rsidRPr="00970AE6">
        <w:rPr>
          <w:rFonts w:cstheme="minorHAnsi"/>
          <w:b/>
        </w:rPr>
        <w:t>Equipe médica</w:t>
      </w:r>
    </w:p>
    <w:p w14:paraId="7D667A1C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</w:rPr>
        <w:t>Dr. Reynaldo Miranda (31) 99631-7707.</w:t>
      </w:r>
    </w:p>
    <w:p w14:paraId="5F6780B3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</w:rPr>
        <w:t>Dr. André Carmo (31) 99242-2775.</w:t>
      </w:r>
    </w:p>
    <w:p w14:paraId="20C14F09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</w:rPr>
        <w:t>Dr. Marcos França (31) 98402-2480.</w:t>
      </w:r>
    </w:p>
    <w:p w14:paraId="3301D759" w14:textId="77777777" w:rsidR="00970AE6" w:rsidRP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  <w:b/>
          <w:bCs/>
        </w:rPr>
      </w:pPr>
    </w:p>
    <w:p w14:paraId="68AF4B52" w14:textId="59DD4153" w:rsidR="00970AE6" w:rsidRDefault="00970AE6" w:rsidP="00970AE6">
      <w:pPr>
        <w:spacing w:after="0" w:line="240" w:lineRule="auto"/>
        <w:ind w:left="-567" w:right="-994"/>
        <w:jc w:val="both"/>
        <w:rPr>
          <w:rFonts w:cstheme="minorHAnsi"/>
        </w:rPr>
      </w:pPr>
      <w:r w:rsidRPr="00970AE6">
        <w:rPr>
          <w:rFonts w:cstheme="minorHAnsi"/>
          <w:b/>
          <w:bCs/>
        </w:rPr>
        <w:t>TRATATAMENTOS ALTERNATIVOS</w:t>
      </w:r>
      <w:r w:rsidRPr="00970AE6">
        <w:rPr>
          <w:rFonts w:cstheme="minorHAnsi"/>
        </w:rPr>
        <w:t>: Não se aplica.</w:t>
      </w:r>
    </w:p>
    <w:p w14:paraId="181FE13A" w14:textId="77777777" w:rsidR="0080032C" w:rsidRPr="00970AE6" w:rsidRDefault="0080032C" w:rsidP="00970AE6">
      <w:pPr>
        <w:spacing w:after="0" w:line="240" w:lineRule="auto"/>
        <w:ind w:left="-567" w:right="-994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8044F96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686E0B13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0ABD315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3ACDBE25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02047267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7FA58E8A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0D5A3C06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59BD6E59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33F20B3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035E52">
        <w:rPr>
          <w:rFonts w:cstheme="minorHAnsi"/>
          <w:b/>
          <w:bCs/>
        </w:rPr>
        <w:t>PODERÁ SER NECESSÁRIA A INFUSÃO DE SANGUE E SEUS COMPONENTES (TRANSFUSÃO DE SANGUE) NO PACIENTE</w:t>
      </w:r>
      <w:r w:rsidRPr="00035E52">
        <w:rPr>
          <w:rFonts w:cstheme="minorHAnsi"/>
        </w:rPr>
        <w:t xml:space="preserve">. A transfusão de sangue e hemocomponentes é o procedimento pelo qual ocorre a transferência de certa quantidade de sangue ou de </w:t>
      </w:r>
      <w:r w:rsidRPr="00035E52">
        <w:rPr>
          <w:rFonts w:cstheme="minorHAnsi"/>
        </w:rPr>
        <w:lastRenderedPageBreak/>
        <w:t xml:space="preserve">alguns de seus componentes (concentrado de hemácias, plasma fresco, plaquetas ou criopreciptado,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37D66119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657CF67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 w14:paraId="61BC7BA8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6E0C2B0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 w14:paraId="47998792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7F2B744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 w14:paraId="656D93A0" w14:textId="77777777" w:rsidR="00970AE6" w:rsidRPr="00035E52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7C55EDB" w14:textId="77777777" w:rsidR="00970AE6" w:rsidRPr="0056146F" w:rsidRDefault="00970AE6" w:rsidP="00970AE6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56457560" w:rsid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1B4B76C" w14:textId="4CED7204" w:rsidR="00970AE6" w:rsidRDefault="00970AE6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C3BDDBE" w14:textId="2FB69725" w:rsidR="00970AE6" w:rsidRDefault="00970AE6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0AD1271C" w14:textId="14D60749" w:rsidR="00970AE6" w:rsidRDefault="00970AE6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1E23224" w14:textId="0DAA78E1" w:rsidR="00970AE6" w:rsidRDefault="00970AE6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5FEC157F" w14:textId="7F018718" w:rsidR="00970AE6" w:rsidRDefault="00970AE6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8A89B60" w14:textId="775DB539" w:rsidR="00970AE6" w:rsidRDefault="00970AE6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0FE3594" w14:textId="135A61EF" w:rsidR="00970AE6" w:rsidRDefault="00970AE6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0D6BC846" w14:textId="77777777" w:rsidR="00970AE6" w:rsidRPr="00F87E52" w:rsidRDefault="00970AE6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1467" w14:textId="77777777" w:rsidR="00121758" w:rsidRDefault="00121758" w:rsidP="00BA0F6C">
      <w:pPr>
        <w:spacing w:after="0" w:line="240" w:lineRule="auto"/>
      </w:pPr>
      <w:r>
        <w:separator/>
      </w:r>
    </w:p>
  </w:endnote>
  <w:endnote w:type="continuationSeparator" w:id="0">
    <w:p w14:paraId="2AA45859" w14:textId="77777777" w:rsidR="00121758" w:rsidRDefault="0012175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81E5" w14:textId="77777777" w:rsidR="00121758" w:rsidRDefault="00121758" w:rsidP="00BA0F6C">
      <w:pPr>
        <w:spacing w:after="0" w:line="240" w:lineRule="auto"/>
      </w:pPr>
      <w:r>
        <w:separator/>
      </w:r>
    </w:p>
  </w:footnote>
  <w:footnote w:type="continuationSeparator" w:id="0">
    <w:p w14:paraId="37BAB7C2" w14:textId="77777777" w:rsidR="00121758" w:rsidRDefault="0012175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D17"/>
    <w:multiLevelType w:val="hybridMultilevel"/>
    <w:tmpl w:val="5FA0071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1014B87"/>
    <w:multiLevelType w:val="hybridMultilevel"/>
    <w:tmpl w:val="61BA74F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21758"/>
    <w:rsid w:val="001B0E8A"/>
    <w:rsid w:val="00252ADD"/>
    <w:rsid w:val="002E5E49"/>
    <w:rsid w:val="003A7652"/>
    <w:rsid w:val="004146BD"/>
    <w:rsid w:val="00546ABD"/>
    <w:rsid w:val="006B459D"/>
    <w:rsid w:val="0073173C"/>
    <w:rsid w:val="0080032C"/>
    <w:rsid w:val="00970AE6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1418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