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Artrodese Occipito-Cervical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sz w:val="24"/>
          <w:szCs w:val="24"/>
        </w:rPr>
        <w:t>Artrodese Occipito-Cervical</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Transtornos ósseos envolvendo a coluna cervical e base do crânio com potencial compressivo sobre o tronco encefálico e a medula espinhal.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Fusão cirúrgica do crânio às vertebras cervicais subjacentes e das mesmas entre si através do uso de dispositivo implantável.</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Sangramento excessivo com necessidade de hemotransfusão, risco de formação de hematomas cervicais com potencial compressivo sobre as vias aéreas afetando a capacidade de falar e respirar, infecções envolvendo pele, subcutâneo, vértebras, dispositivos implantáveis, meninges e sistema nervoso com necessidade de tratamento cirúrgico sequencial ou tratamento medicamentoso prolongado. Redução ou perda da mobilidade cervical, especialmente da capacidade de rotação da cabeça. Redução ou perda da capacidade de sentir um segmento corpóreo (p. ex. membros superiores, membros inferiores, tronco), redução da perda ou capacidade de mover um segmento corpóreo (p. ex membros superiores, membros inferiores), dificuldade ou incapacidade de andar, rouquidão dificuldade de falar, dificuldade de engolir. Há risco de desenvolvimento ou agravamento de quadro de dor cervical ou dor irradiada de caráter crônico. Retenção urinária, bexiga neurogênica, incontinência urinária, constipação, incontinência fecal, impotência sexual. Há pequeno risco de óbito.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O tratamento cirúrgico foi indicado como melhor alternativa frente aos riscos trazidos pela doença e suas abordagens não havendo alternativas não cirúrgicas suficientemente efetivas. </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4</Pages>
  <Words>1274</Words>
  <Characters>8723</Characters>
  <CharactersWithSpaces>9954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2024-01-25T09:19:11Z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