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Correção Barra Társica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 xml:space="preserve"> Artrodese do tarso (pé).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kern w:val="0"/>
          <w:sz w:val="22"/>
          <w:szCs w:val="22"/>
          <w:lang w:val="pt-BR" w:eastAsia="en-US" w:bidi="ar-SA"/>
        </w:rPr>
        <w:t xml:space="preserve">Correção Barra Társica Artrodese do tarso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Barra társica com artrose do retropé.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LATERALIDADE</w:t>
      </w:r>
      <w:r>
        <w:rPr>
          <w:rFonts w:cs="Calibri" w:cstheme="minorHAnsi"/>
        </w:rPr>
        <w:t xml:space="preserve">:      </w:t>
      </w:r>
      <w:r>
        <w:rPr>
          <w:rFonts w:cs="Calibri" w:cstheme="minorHAnsi"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5730" cy="116205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15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9.8pt;height:9.0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esquerda    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5730" cy="116205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15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9.8pt;height:9.0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</w:rPr>
        <w:t xml:space="preserve">       direita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Correção barra társica</w:t>
      </w:r>
      <w:r>
        <w:rPr>
          <w:rFonts w:cs="Calibri" w:cstheme="minorHAnsi"/>
        </w:rPr>
        <w:t xml:space="preserve"> artrodese do tarso.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como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pós-operatório: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a alterações pós-operatórias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Tratam</w:t>
      </w:r>
      <w:bookmarkStart w:id="0" w:name="_GoBack"/>
      <w:bookmarkEnd w:id="0"/>
      <w:r>
        <w:rPr>
          <w:rFonts w:cs="Calibri" w:cstheme="minorHAnsi"/>
        </w:rPr>
        <w:t>ento conservador,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F2668-A5EF-4CFE-BDED-C20B0E8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LibreOffice/7.2.7.2$Windows_X86_64 LibreOffice_project/8d71d29d553c0f7dcbfa38fbfda25ee34cce99a2</Application>
  <AppVersion>15.0000</AppVersion>
  <Pages>4</Pages>
  <Words>1185</Words>
  <Characters>8113</Characters>
  <CharactersWithSpaces>9270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2022-12-21T15:04:00Z</dcterms:created>
  <dc:creator>Luiz Gustavo Alves Passos</dc:creator>
  <dc:description/>
  <dc:language>pt-BR</dc:language>
  <cp:lastModifiedBy/>
  <dcterms:modified xsi:type="dcterms:W3CDTF">2023-04-28T09:42:07Z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