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de Retroca Valvar Aórtica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Retroca Valvar Aórtica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Falência de bioprótese mitral.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A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RETROCA VALVAR AÓRTICA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é realizada quando o paciente apresenta FALÊNCIA GRAVE DA BIOPRÓTESE AÓRTICA PREVIAMENTE IMPLANTADA, associadas a sintoma(s) relevante(s) e ou alterações anatômicas e ou funcionais no coração (por exemplo: dilatações, hipertrofias e alterações de pressões nas câmaras cardíacas). A cirurgia consiste na reabertura cirúrgica do mediastino (peito), retirada da bioprótese falida e colocação de nova prótese valvar AÓRTICA, que pode ser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 xml:space="preserve">biológica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(precisa ser retrocada novamente após alguns anos) ou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 xml:space="preserve"> mecânica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(pode durar a vida toda, mas o paciente tem que usar anticoagulante para o resto da vida e fazer controle rigoroso).</w:t>
      </w:r>
      <w:r>
        <w:rPr>
          <w:rFonts w:eastAsia="Calibri" w:cs="Calibri" w:cstheme="minorHAnsi"/>
          <w:color w:val="auto"/>
          <w:kern w:val="0"/>
          <w:sz w:val="24"/>
          <w:szCs w:val="24"/>
          <w:lang w:val="pt-BR" w:eastAsia="en-US" w:bidi="ar-SA"/>
        </w:rPr>
        <w:t xml:space="preserve">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É importante o paciente entender que a reoperação é mais complexa e envolve mais riscos que a primeira cirurgia, pois, em virtude a cicatrização interna, as estruturas internas do paciente ficam com aderências e fibroses, o que aumenta a dificuldade cirúrgica e o risco de lesões e sangramentos maiores. Embora pouco frequentes, relatamos aqui as 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cs="Calibri" w:cstheme="minorHAnsi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TRATAMENTOS ALTERNATIVOS</w:t>
      </w:r>
      <w:r>
        <w:rPr>
          <w:sz w:val="24"/>
          <w:szCs w:val="24"/>
        </w:rPr>
        <w:t>: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via cateterismo com colocação de uma prótese valvar sobre a prótese biológica em falência (tratamento indicado para alguns casos específicos).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sectPr>
      <w:headerReference w:type="default" r:id="rId2"/>
      <w:type w:val="nextPage"/>
      <w:pgSz w:w="11906" w:h="16838"/>
      <w:pgMar w:left="1701" w:right="1701" w:gutter="0" w:header="1417" w:top="2900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c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" w:customStyle="1">
    <w:name w:val="Padrão"/>
    <w:qFormat/>
    <w:rsid w:val="00a30c82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30c82"/>
    <w:pPr>
      <w:spacing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0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30c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LibreOffice/24.2.0.3$Windows_X86_64 LibreOffice_project/da48488a73ddd66ea24cf16bbc4f7b9c08e9bea1</Application>
  <AppVersion>15.0000</AppVersion>
  <Pages>4</Pages>
  <Words>1298</Words>
  <Characters>8739</Characters>
  <CharactersWithSpaces>9993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2020-11-26T14:45:00Z</dcterms:created>
  <dc:creator>Carolina da Silva Vicente Ribeiro</dc:creator>
  <dc:description/>
  <dc:language>pt-BR</dc:language>
  <cp:lastModifiedBy/>
  <dcterms:modified xsi:type="dcterms:W3CDTF">2024-03-28T12:46:54Z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