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</w:t>
            </w:r>
            <w:r>
              <w:rPr>
                <w:rFonts w:eastAsia="Calibri" w:cs="Calibri"/>
                <w:color w:val="201F1E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Implante de Desfibrilador Interno, Placas e Eletrodos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IMPLANTE DE DESFIBRILADOR INTERNO, PLACAS E ELETRODOS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___________________________________________________________________________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 Procedimento que </w:t>
      </w:r>
      <w:r>
        <w:rPr/>
        <w:t xml:space="preserve">visa reverter a arritmias ventriculares graves que possam colocar a vida do paciente em risco. </w:t>
      </w:r>
    </w:p>
    <w:p>
      <w:pPr>
        <w:pStyle w:val="Normal"/>
        <w:spacing w:lineRule="auto" w:line="240"/>
        <w:ind w:left="-567" w:right="-568"/>
        <w:jc w:val="both"/>
        <w:rPr/>
      </w:pPr>
      <w:r>
        <w:rPr>
          <w:rFonts w:cs="Calibri" w:cstheme="minorHAnsi"/>
          <w:b/>
          <w:bCs/>
        </w:rPr>
        <w:t xml:space="preserve">RISCOS, COMPLICAÇÕES, BENEFÍCIOS: </w:t>
      </w:r>
    </w:p>
    <w:p>
      <w:pPr>
        <w:pStyle w:val="Normal"/>
        <w:spacing w:lineRule="auto" w:line="240"/>
        <w:ind w:left="-567" w:right="-568"/>
        <w:jc w:val="both"/>
        <w:rPr/>
      </w:pPr>
      <w:r>
        <w:rPr>
          <w:u w:val="single"/>
        </w:rPr>
        <w:t>Relacionadas a punção da veia próxima ao coração para instalação do fio</w:t>
      </w:r>
      <w:r>
        <w:rPr/>
        <w:t>: hematomas, sangramentos, pneumotórax.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u w:val="single"/>
        </w:rPr>
        <w:t>Relacionadas ao comando ou estímulo:</w:t>
      </w:r>
      <w:r>
        <w:rPr/>
        <w:t xml:space="preserve"> arritmia ventricular grave ou parada cardíaca no momento da instalação (raro); infecção hospitalar.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__________________________________________________________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LibreOffice/24.2.0.3$Windows_X86_64 LibreOffice_project/da48488a73ddd66ea24cf16bbc4f7b9c08e9bea1</Application>
  <AppVersion>15.0000</AppVersion>
  <Pages>4</Pages>
  <Words>1139</Words>
  <Characters>8018</Characters>
  <CharactersWithSpaces>9111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2024-03-28T13:28:55Z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