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Mamoplastia de mama contralateral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Mamoplastia de mama contralateral – 30602173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>: Assimetria mamária em decorrência de reconstrução de mama contralateral</w:t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b/>
          <w:color w:themeColor="text1" w:val="000000"/>
          <w:sz w:val="22"/>
          <w:szCs w:val="22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bCs/>
          <w:color w:val="auto"/>
          <w:sz w:val="22"/>
          <w:szCs w:val="22"/>
          <w:lang w:eastAsia="en-US"/>
        </w:rPr>
        <w:t>DEFINIÇÃO DO PROCEDIMENTO: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Mamoplastia de mama contralateral</w:t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b/>
          <w:color w:themeColor="text1" w:val="000000"/>
          <w:sz w:val="22"/>
          <w:szCs w:val="22"/>
        </w:rPr>
      </w:pPr>
      <w:r>
        <w:rPr>
          <w:rFonts w:cs="Calibri" w:cstheme="minorHAnsi" w:ascii="Calibri" w:hAnsi="Calibri"/>
          <w:b/>
          <w:color w:themeColor="text1" w:val="000000"/>
          <w:sz w:val="22"/>
          <w:szCs w:val="22"/>
        </w:rPr>
      </w:r>
    </w:p>
    <w:p>
      <w:pPr>
        <w:pStyle w:val="Default"/>
        <w:ind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Devido ao tratamento prévio da mama contralateral instalou-se uma assimetria que indicada abordagem cirúrgica para simetrização.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A incisão de pele será decidida conforme a melhor abordagem cirúrgica e estética 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 técnica cirúrgica e a inclusão ou não de implante mamário será definido pelas condições locais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anemia, obesidade, idade avançada, comorbidades, etc.), pode trazer uma série de complicações comuns e potencialmente sérias, incluindo óbito. 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Hemorragias intraoperatórias, principalmente durante a abordagem cirúrgica da axila. Em casos extremos com sangramentos muito volumosos pode haver indicação de transfusão sanguínea e/ ou procedimentos para reparo vascular.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ou seroma (acúmulo de secreção) na loja cirúrgica, sendo eventualmente necessária uma drenagem no bloco cirúrgico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Infecção pós-operatória que pode requerer o uso de antibióticos ou até mesmo a drenagem cirúrgica de coleções purulentas, assim como a “perda” da prótese com comprometimento do resultado estético.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 ou necrose de retalhos de pele, retardando a cicatrização, eventualmente comprometendo o resultado estético ou até mesmo levando à “perda” de eventual implante.</w:t>
      </w:r>
    </w:p>
    <w:p>
      <w:pPr>
        <w:pStyle w:val="Default"/>
        <w:numPr>
          <w:ilvl w:val="0"/>
          <w:numId w:val="1"/>
        </w:numPr>
        <w:ind w:hanging="360" w:left="153" w:right="-427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É possível que não seja obtida simetria completa da posição do complexo aréolo-papilar, contorno e volume.</w:t>
      </w:r>
    </w:p>
    <w:p>
      <w:pPr>
        <w:pStyle w:val="Default"/>
        <w:tabs>
          <w:tab w:val="clear" w:pos="708"/>
          <w:tab w:val="left" w:pos="284" w:leader="none"/>
        </w:tabs>
        <w:ind w:left="-283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definidos.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1a42fb"/>
    <w:pPr>
      <w:widowControl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eastAsia="pt-BR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LibreOffice/24.2.0.3$Windows_X86_64 LibreOffice_project/da48488a73ddd66ea24cf16bbc4f7b9c08e9bea1</Application>
  <AppVersion>15.0000</AppVersion>
  <Pages>4</Pages>
  <Words>1313</Words>
  <Characters>8902</Characters>
  <CharactersWithSpaces>10153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2024-04-04T08:26:51Z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