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90031CE" w:rsidR="00F87E52" w:rsidRPr="00F87E52" w:rsidRDefault="00F87E52" w:rsidP="00283749">
            <w:pPr>
              <w:ind w:left="39"/>
              <w:rPr>
                <w:rFonts w:cstheme="minorHAnsi"/>
                <w:b/>
                <w:bCs/>
              </w:rPr>
            </w:pPr>
            <w:r w:rsidRPr="00F87E52">
              <w:rPr>
                <w:rFonts w:cstheme="minorHAnsi"/>
                <w:b/>
                <w:bCs/>
              </w:rPr>
              <w:t>Procedimento:</w:t>
            </w:r>
            <w:r w:rsidR="00C61A02">
              <w:rPr>
                <w:rFonts w:cstheme="minorHAnsi"/>
                <w:b/>
                <w:bCs/>
              </w:rPr>
              <w:t xml:space="preserve"> </w:t>
            </w:r>
            <w:r w:rsidR="00C61A02" w:rsidRPr="00C61A02">
              <w:rPr>
                <w:rFonts w:cstheme="minorHAnsi"/>
                <w:b/>
                <w:bCs/>
              </w:rPr>
              <w:t>Microcirurgia do Plexo Braquial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475EC02"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C61A02" w:rsidRPr="00C61A02">
        <w:rPr>
          <w:rFonts w:cstheme="minorHAnsi"/>
          <w:b/>
          <w:bCs/>
        </w:rPr>
        <w:t>Microcirurgia do Plexo Braquial</w:t>
      </w:r>
      <w:r w:rsidR="00C61A02"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EAB976A" w14:textId="77777777" w:rsidR="00C61A02" w:rsidRPr="00C61A02" w:rsidRDefault="00C61A02" w:rsidP="00C61A02">
      <w:pPr>
        <w:spacing w:line="240" w:lineRule="auto"/>
        <w:ind w:left="-567" w:right="-568"/>
        <w:jc w:val="both"/>
        <w:rPr>
          <w:rFonts w:cstheme="minorHAnsi"/>
        </w:rPr>
      </w:pPr>
      <w:r w:rsidRPr="00C61A02">
        <w:rPr>
          <w:rFonts w:cstheme="minorHAnsi"/>
          <w:b/>
          <w:bCs/>
        </w:rPr>
        <w:t>DIAGNÓSTICO</w:t>
      </w:r>
      <w:r w:rsidRPr="00C61A02">
        <w:rPr>
          <w:rFonts w:cstheme="minorHAnsi"/>
        </w:rPr>
        <w:t>: Lesão Traumática ou Compressiva de uma ou mais Raízes do Plexo Braquial</w:t>
      </w:r>
    </w:p>
    <w:p w14:paraId="07DC7A94" w14:textId="77777777" w:rsidR="00C61A02" w:rsidRPr="00C61A02" w:rsidRDefault="00C61A02" w:rsidP="00C61A02">
      <w:pPr>
        <w:spacing w:line="240" w:lineRule="auto"/>
        <w:ind w:left="-567" w:right="-568"/>
        <w:jc w:val="both"/>
        <w:rPr>
          <w:rFonts w:cstheme="minorHAnsi"/>
        </w:rPr>
      </w:pPr>
      <w:r w:rsidRPr="00C61A02">
        <w:rPr>
          <w:rFonts w:cstheme="minorHAnsi"/>
          <w:b/>
          <w:bCs/>
        </w:rPr>
        <w:t>DEFINIÇÃO DO PROCEDIMENTO</w:t>
      </w:r>
      <w:r w:rsidRPr="00C61A02">
        <w:rPr>
          <w:rFonts w:cstheme="minorHAnsi"/>
        </w:rPr>
        <w:t xml:space="preserve">: Reconstrução por técnica microcirúrgica e microscópica de lesões de raízes ou nervos derivados do plexo braquial com ou sem enxertia nervosa </w:t>
      </w:r>
    </w:p>
    <w:p w14:paraId="305734AB" w14:textId="18E212ED" w:rsidR="00C61A02" w:rsidRPr="00C61A02" w:rsidRDefault="00C61A02" w:rsidP="00C61A02">
      <w:pPr>
        <w:spacing w:line="240" w:lineRule="auto"/>
        <w:ind w:left="-567" w:right="-568"/>
        <w:jc w:val="both"/>
        <w:rPr>
          <w:rFonts w:cstheme="minorHAnsi"/>
        </w:rPr>
      </w:pPr>
      <w:r w:rsidRPr="00C61A02">
        <w:rPr>
          <w:rFonts w:cstheme="minorHAnsi"/>
          <w:b/>
          <w:bCs/>
        </w:rPr>
        <w:t>RISCOS, COMPLICAÇÕES</w:t>
      </w:r>
      <w:r w:rsidRPr="00C61A02">
        <w:rPr>
          <w:rFonts w:cstheme="minorHAnsi"/>
        </w:rPr>
        <w:t xml:space="preserve">: Formação de hematomas que podem comprimir estruturas vasculares e nervosas e agravar as alterações sensitivas e motoras pré-existentes, infecções envolvendo pele, subcutâneo com necessidade de tratamento cirúrgico sequencial ou medicamentoso prolongado.  Redução ou perda da capacidade de sentir um segmento corpóreo (p. ex. mão, braço, antebraço), redução da perda ou capacidade de mover um segmento corpóreo (p. ex. mão, braço, antebraço). Podem se desenvolver síndromes dolorosas de comportamento irregular tendendo à cronificação que levem à necessidade de tratamentos cirúrgico ou </w:t>
      </w:r>
      <w:r w:rsidRPr="00C61A02">
        <w:rPr>
          <w:rFonts w:cstheme="minorHAnsi"/>
        </w:rPr>
        <w:lastRenderedPageBreak/>
        <w:t xml:space="preserve">medicamentoso por período prolongado. Quando colhidos nervos periféricos para enxertia ou transposição as </w:t>
      </w:r>
      <w:r w:rsidRPr="00C61A02">
        <w:rPr>
          <w:rFonts w:cstheme="minorHAnsi"/>
        </w:rPr>
        <w:t>porções doadoras</w:t>
      </w:r>
      <w:r w:rsidRPr="00C61A02">
        <w:rPr>
          <w:rFonts w:cstheme="minorHAnsi"/>
        </w:rPr>
        <w:t xml:space="preserve"> poderão apresentar alterações motoras ou sensitivas (segmentos torácicos quando utilizados nervos intercostais ou extremidade inferior quando utilizado o nervo </w:t>
      </w:r>
      <w:proofErr w:type="spellStart"/>
      <w:r w:rsidRPr="00C61A02">
        <w:rPr>
          <w:rFonts w:cstheme="minorHAnsi"/>
        </w:rPr>
        <w:t>sural</w:t>
      </w:r>
      <w:proofErr w:type="spellEnd"/>
      <w:r w:rsidRPr="00C61A02">
        <w:rPr>
          <w:rFonts w:cstheme="minorHAnsi"/>
        </w:rPr>
        <w:t>). Essas alterações embora normalmente transitórias podem ter caráter prolongado ou definitivo por resposta idiossincrática. Há pequeno risco de óbito.</w:t>
      </w:r>
    </w:p>
    <w:p w14:paraId="27D2F3B4" w14:textId="67B9AC3C" w:rsidR="00F87E52" w:rsidRPr="00C61A02" w:rsidRDefault="00C61A02" w:rsidP="00C61A02">
      <w:pPr>
        <w:spacing w:line="240" w:lineRule="auto"/>
        <w:ind w:left="-567" w:right="-568"/>
        <w:jc w:val="both"/>
        <w:rPr>
          <w:rFonts w:cstheme="minorHAnsi"/>
        </w:rPr>
      </w:pPr>
      <w:r w:rsidRPr="00C61A02">
        <w:rPr>
          <w:rFonts w:cstheme="minorHAnsi"/>
          <w:b/>
          <w:bCs/>
        </w:rPr>
        <w:t>TRATATAMENTOS ALTERNATIVOS</w:t>
      </w:r>
      <w:r w:rsidRPr="00C61A02">
        <w:rPr>
          <w:rFonts w:cstheme="minorHAnsi"/>
        </w:rPr>
        <w:t xml:space="preserve">: O tratamento cirúrgico foi indicado como melhor alternativa frente aos riscos trazidos pela doença e suas abordagens. O tratamento cirúrgico convencional foi eleito devido a não </w:t>
      </w:r>
      <w:r w:rsidRPr="00C61A02">
        <w:rPr>
          <w:rFonts w:cstheme="minorHAnsi"/>
        </w:rPr>
        <w:t>haver</w:t>
      </w:r>
      <w:r w:rsidRPr="00C61A02">
        <w:rPr>
          <w:rFonts w:cstheme="minorHAnsi"/>
        </w:rPr>
        <w:t xml:space="preserve"> alternativas de efetividade similar disponíveis.</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w:t>
      </w:r>
      <w:r w:rsidRPr="00F87E52">
        <w:rPr>
          <w:rFonts w:cstheme="minorHAnsi"/>
        </w:rPr>
        <w:lastRenderedPageBreak/>
        <w:t xml:space="preserve">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33FCC89E" w:rsidR="004146BD" w:rsidRDefault="004146BD" w:rsidP="00F87E52">
      <w:pPr>
        <w:pStyle w:val="Padro"/>
        <w:spacing w:before="0"/>
        <w:ind w:right="-568"/>
        <w:jc w:val="center"/>
        <w:rPr>
          <w:rFonts w:asciiTheme="minorHAnsi" w:hAnsiTheme="minorHAnsi" w:cstheme="minorHAnsi"/>
          <w:color w:val="auto"/>
          <w:sz w:val="22"/>
          <w:szCs w:val="22"/>
        </w:rPr>
      </w:pPr>
    </w:p>
    <w:p w14:paraId="03A929EC" w14:textId="0BB9F205" w:rsidR="00C61A02" w:rsidRDefault="00C61A02" w:rsidP="00F87E52">
      <w:pPr>
        <w:pStyle w:val="Padro"/>
        <w:spacing w:before="0"/>
        <w:ind w:right="-568"/>
        <w:jc w:val="center"/>
        <w:rPr>
          <w:rFonts w:asciiTheme="minorHAnsi" w:hAnsiTheme="minorHAnsi" w:cstheme="minorHAnsi"/>
          <w:color w:val="auto"/>
          <w:sz w:val="22"/>
          <w:szCs w:val="22"/>
        </w:rPr>
      </w:pPr>
    </w:p>
    <w:p w14:paraId="77864E87" w14:textId="767F9164" w:rsidR="00C61A02" w:rsidRDefault="00C61A02" w:rsidP="00F87E52">
      <w:pPr>
        <w:pStyle w:val="Padro"/>
        <w:spacing w:before="0"/>
        <w:ind w:right="-568"/>
        <w:jc w:val="center"/>
        <w:rPr>
          <w:rFonts w:asciiTheme="minorHAnsi" w:hAnsiTheme="minorHAnsi" w:cstheme="minorHAnsi"/>
          <w:color w:val="auto"/>
          <w:sz w:val="22"/>
          <w:szCs w:val="22"/>
        </w:rPr>
      </w:pPr>
    </w:p>
    <w:p w14:paraId="16F9AF61" w14:textId="03C9CE12" w:rsidR="00C61A02" w:rsidRDefault="00C61A02" w:rsidP="00F87E52">
      <w:pPr>
        <w:pStyle w:val="Padro"/>
        <w:spacing w:before="0"/>
        <w:ind w:right="-568"/>
        <w:jc w:val="center"/>
        <w:rPr>
          <w:rFonts w:asciiTheme="minorHAnsi" w:hAnsiTheme="minorHAnsi" w:cstheme="minorHAnsi"/>
          <w:color w:val="auto"/>
          <w:sz w:val="22"/>
          <w:szCs w:val="22"/>
        </w:rPr>
      </w:pPr>
    </w:p>
    <w:p w14:paraId="6FF333FF" w14:textId="601EA4F6" w:rsidR="00C61A02" w:rsidRDefault="00C61A02" w:rsidP="00F87E52">
      <w:pPr>
        <w:pStyle w:val="Padro"/>
        <w:spacing w:before="0"/>
        <w:ind w:right="-568"/>
        <w:jc w:val="center"/>
        <w:rPr>
          <w:rFonts w:asciiTheme="minorHAnsi" w:hAnsiTheme="minorHAnsi" w:cstheme="minorHAnsi"/>
          <w:color w:val="auto"/>
          <w:sz w:val="22"/>
          <w:szCs w:val="22"/>
        </w:rPr>
      </w:pPr>
    </w:p>
    <w:p w14:paraId="12AB5DCB" w14:textId="5339E1DA" w:rsidR="00C61A02" w:rsidRDefault="00C61A02" w:rsidP="00F87E52">
      <w:pPr>
        <w:pStyle w:val="Padro"/>
        <w:spacing w:before="0"/>
        <w:ind w:right="-568"/>
        <w:jc w:val="center"/>
        <w:rPr>
          <w:rFonts w:asciiTheme="minorHAnsi" w:hAnsiTheme="minorHAnsi" w:cstheme="minorHAnsi"/>
          <w:color w:val="auto"/>
          <w:sz w:val="22"/>
          <w:szCs w:val="22"/>
        </w:rPr>
      </w:pPr>
    </w:p>
    <w:p w14:paraId="6E9A4F5E" w14:textId="30E3CDEC" w:rsidR="00C61A02" w:rsidRDefault="00C61A02" w:rsidP="00F87E52">
      <w:pPr>
        <w:pStyle w:val="Padro"/>
        <w:spacing w:before="0"/>
        <w:ind w:right="-568"/>
        <w:jc w:val="center"/>
        <w:rPr>
          <w:rFonts w:asciiTheme="minorHAnsi" w:hAnsiTheme="minorHAnsi" w:cstheme="minorHAnsi"/>
          <w:color w:val="auto"/>
          <w:sz w:val="22"/>
          <w:szCs w:val="22"/>
        </w:rPr>
      </w:pPr>
    </w:p>
    <w:p w14:paraId="2E5FAB7B" w14:textId="274251DF" w:rsidR="00C61A02" w:rsidRDefault="00C61A02" w:rsidP="00F87E52">
      <w:pPr>
        <w:pStyle w:val="Padro"/>
        <w:spacing w:before="0"/>
        <w:ind w:right="-568"/>
        <w:jc w:val="center"/>
        <w:rPr>
          <w:rFonts w:asciiTheme="minorHAnsi" w:hAnsiTheme="minorHAnsi" w:cstheme="minorHAnsi"/>
          <w:color w:val="auto"/>
          <w:sz w:val="22"/>
          <w:szCs w:val="22"/>
        </w:rPr>
      </w:pPr>
    </w:p>
    <w:p w14:paraId="364B96BA" w14:textId="0CE238B0" w:rsidR="00C61A02" w:rsidRDefault="00C61A02" w:rsidP="00F87E52">
      <w:pPr>
        <w:pStyle w:val="Padro"/>
        <w:spacing w:before="0"/>
        <w:ind w:right="-568"/>
        <w:jc w:val="center"/>
        <w:rPr>
          <w:rFonts w:asciiTheme="minorHAnsi" w:hAnsiTheme="minorHAnsi" w:cstheme="minorHAnsi"/>
          <w:color w:val="auto"/>
          <w:sz w:val="22"/>
          <w:szCs w:val="22"/>
        </w:rPr>
      </w:pPr>
    </w:p>
    <w:p w14:paraId="5DA5669E" w14:textId="2D5E9B75" w:rsidR="00C61A02" w:rsidRDefault="00C61A02" w:rsidP="00F87E52">
      <w:pPr>
        <w:pStyle w:val="Padro"/>
        <w:spacing w:before="0"/>
        <w:ind w:right="-568"/>
        <w:jc w:val="center"/>
        <w:rPr>
          <w:rFonts w:asciiTheme="minorHAnsi" w:hAnsiTheme="minorHAnsi" w:cstheme="minorHAnsi"/>
          <w:color w:val="auto"/>
          <w:sz w:val="22"/>
          <w:szCs w:val="22"/>
        </w:rPr>
      </w:pPr>
    </w:p>
    <w:p w14:paraId="0CA2CEA0" w14:textId="77777777" w:rsidR="00C61A02" w:rsidRDefault="00C61A02"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C79" w14:textId="77777777" w:rsidR="00C40A8E" w:rsidRDefault="00C40A8E" w:rsidP="00BA0F6C">
      <w:pPr>
        <w:spacing w:after="0" w:line="240" w:lineRule="auto"/>
      </w:pPr>
      <w:r>
        <w:separator/>
      </w:r>
    </w:p>
  </w:endnote>
  <w:endnote w:type="continuationSeparator" w:id="0">
    <w:p w14:paraId="0880A0D1" w14:textId="77777777" w:rsidR="00C40A8E" w:rsidRDefault="00C40A8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8D34" w14:textId="77777777" w:rsidR="00C40A8E" w:rsidRDefault="00C40A8E" w:rsidP="00BA0F6C">
      <w:pPr>
        <w:spacing w:after="0" w:line="240" w:lineRule="auto"/>
      </w:pPr>
      <w:r>
        <w:separator/>
      </w:r>
    </w:p>
  </w:footnote>
  <w:footnote w:type="continuationSeparator" w:id="0">
    <w:p w14:paraId="45AC5253" w14:textId="77777777" w:rsidR="00C40A8E" w:rsidRDefault="00C40A8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87881"/>
    <w:rsid w:val="00BA0F6C"/>
    <w:rsid w:val="00BF739A"/>
    <w:rsid w:val="00C40A8E"/>
    <w:rsid w:val="00C61A02"/>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