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AD4E64B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42450">
              <w:rPr>
                <w:rFonts w:cstheme="minorHAnsi"/>
                <w:b/>
                <w:bCs/>
              </w:rPr>
              <w:t xml:space="preserve"> </w:t>
            </w:r>
            <w:r w:rsidR="00D42450" w:rsidRPr="00D42450">
              <w:rPr>
                <w:rFonts w:cstheme="minorHAnsi"/>
                <w:b/>
                <w:bCs/>
              </w:rPr>
              <w:t>Cirurgia para Impacto Fêmoro Acetabular do Quadril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EA791B6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D42450" w:rsidRPr="00D42450">
        <w:rPr>
          <w:rFonts w:cstheme="minorHAnsi"/>
          <w:b/>
          <w:bCs/>
        </w:rPr>
        <w:t>Osteocondroplastia para Tratamento do Impacto Fêmoro Acetabular do Quadril – CID M16.3</w:t>
      </w:r>
      <w:r w:rsidR="00D42450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1B9BDE5" w14:textId="4AE7DD96" w:rsidR="00D42450" w:rsidRPr="00D42450" w:rsidRDefault="00D42450" w:rsidP="00D42450">
      <w:pPr>
        <w:spacing w:line="240" w:lineRule="auto"/>
        <w:ind w:left="-567" w:right="-568"/>
        <w:rPr>
          <w:rFonts w:cs="Calibri"/>
        </w:rPr>
      </w:pPr>
      <w:r w:rsidRPr="00D42450">
        <w:rPr>
          <w:rFonts w:cs="Calibri"/>
          <w:b/>
          <w:bCs/>
        </w:rPr>
        <w:t>DIAGNÓSTICO</w:t>
      </w:r>
      <w:r w:rsidRPr="00D42450">
        <w:rPr>
          <w:rFonts w:cs="Calibri"/>
        </w:rPr>
        <w:t>: Síndrome do impacto fêmoro acetabular do quadril.</w:t>
      </w:r>
    </w:p>
    <w:p w14:paraId="2DB6E112" w14:textId="156EC522" w:rsidR="00D42450" w:rsidRPr="00D42450" w:rsidRDefault="00D42450" w:rsidP="00D42450">
      <w:pPr>
        <w:spacing w:line="240" w:lineRule="auto"/>
        <w:ind w:left="-567" w:right="-568"/>
        <w:jc w:val="both"/>
        <w:rPr>
          <w:rFonts w:cs="Calibri"/>
        </w:rPr>
      </w:pPr>
      <w:r w:rsidRPr="00D42450">
        <w:rPr>
          <w:rFonts w:cs="Calibri"/>
          <w:b/>
          <w:bCs/>
        </w:rPr>
        <w:t>DEFINIÇÃO DO PROCEDIMENTO</w:t>
      </w:r>
      <w:r w:rsidRPr="00D42450">
        <w:rPr>
          <w:rFonts w:cs="Calibri"/>
        </w:rPr>
        <w:t>: Osteocondroplastia para tratamento do impacto fêmoro acetabular do quadril é um procedimento realizado por meio de videoartroscopia em que se realiza com uso da lâmina de abrasão e lâmina de “shaver” a correção das anormalidades ósseas relacionadas ao impacto femoro acetabular. Nesse mesma via artroscópica do quadril é possível, quando indicada, realizar os reparos labrais e condrais por meio de ressecções ou suturas de acordo com as características das lesões.</w:t>
      </w:r>
    </w:p>
    <w:p w14:paraId="5BE53213" w14:textId="0793EE02" w:rsidR="00D42450" w:rsidRPr="00D42450" w:rsidRDefault="00D42450" w:rsidP="00D42450">
      <w:pPr>
        <w:spacing w:line="240" w:lineRule="auto"/>
        <w:ind w:left="-567" w:right="-568"/>
        <w:jc w:val="both"/>
        <w:rPr>
          <w:rFonts w:cs="Calibri"/>
        </w:rPr>
      </w:pPr>
      <w:r w:rsidRPr="00D42450">
        <w:rPr>
          <w:rFonts w:cs="Calibri"/>
          <w:b/>
          <w:bCs/>
        </w:rPr>
        <w:t>RISCOS, COMPLICAÇÕES</w:t>
      </w:r>
      <w:r w:rsidRPr="00D42450">
        <w:rPr>
          <w:rFonts w:cs="Calibri"/>
        </w:rPr>
        <w:t>: Infecção do sítio cirúrgico, deiscência de suturas, hematomas e ou seromas na ferida operatória, restrição da amplitude do movimento, dor residual, artrose, instabilidade residual</w:t>
      </w:r>
      <w:r w:rsidR="0041762A">
        <w:rPr>
          <w:rFonts w:cs="Calibri"/>
        </w:rPr>
        <w:t>, óbito.</w:t>
      </w:r>
    </w:p>
    <w:p w14:paraId="02BEE822" w14:textId="6A4C2E1B" w:rsidR="00D42450" w:rsidRPr="00D42450" w:rsidRDefault="00D42450" w:rsidP="00D42450">
      <w:pPr>
        <w:spacing w:line="240" w:lineRule="auto"/>
        <w:ind w:left="-567" w:right="-568"/>
        <w:jc w:val="both"/>
        <w:rPr>
          <w:rFonts w:cs="Calibri"/>
        </w:rPr>
      </w:pPr>
      <w:r w:rsidRPr="00D42450">
        <w:rPr>
          <w:rFonts w:cs="Calibri"/>
          <w:b/>
          <w:bCs/>
        </w:rPr>
        <w:lastRenderedPageBreak/>
        <w:t>TRATATAMENTOS ALTERNATIVOS</w:t>
      </w:r>
      <w:r w:rsidRPr="00D42450">
        <w:rPr>
          <w:rFonts w:cs="Calibri"/>
        </w:rPr>
        <w:t>: Revisão da osteocondroplastia, tratamento fisioterapêutico conservador, tratamento conservador não cirúrgico com medidas restritivas a carga, medidas analgésicas e antinflamatórias, tratamento fisioterapêutico.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</w:t>
      </w:r>
      <w:r w:rsidRPr="00F87E52">
        <w:rPr>
          <w:rFonts w:cstheme="minorHAnsi"/>
        </w:rPr>
        <w:lastRenderedPageBreak/>
        <w:t>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3FB8" w14:textId="77777777" w:rsidR="00DA5B0C" w:rsidRDefault="00DA5B0C" w:rsidP="00BA0F6C">
      <w:pPr>
        <w:spacing w:after="0" w:line="240" w:lineRule="auto"/>
      </w:pPr>
      <w:r>
        <w:separator/>
      </w:r>
    </w:p>
  </w:endnote>
  <w:endnote w:type="continuationSeparator" w:id="0">
    <w:p w14:paraId="7BD1856A" w14:textId="77777777" w:rsidR="00DA5B0C" w:rsidRDefault="00DA5B0C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4392" w14:textId="77777777" w:rsidR="00DA5B0C" w:rsidRDefault="00DA5B0C" w:rsidP="00BA0F6C">
      <w:pPr>
        <w:spacing w:after="0" w:line="240" w:lineRule="auto"/>
      </w:pPr>
      <w:r>
        <w:separator/>
      </w:r>
    </w:p>
  </w:footnote>
  <w:footnote w:type="continuationSeparator" w:id="0">
    <w:p w14:paraId="23C671E7" w14:textId="77777777" w:rsidR="00DA5B0C" w:rsidRDefault="00DA5B0C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1762A"/>
    <w:rsid w:val="00546ABD"/>
    <w:rsid w:val="0073173C"/>
    <w:rsid w:val="0097574A"/>
    <w:rsid w:val="00ACA831"/>
    <w:rsid w:val="00B87881"/>
    <w:rsid w:val="00BA0F6C"/>
    <w:rsid w:val="00BE566B"/>
    <w:rsid w:val="00BF739A"/>
    <w:rsid w:val="00C7400F"/>
    <w:rsid w:val="00D42450"/>
    <w:rsid w:val="00DA5B0C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