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Pancreato-Duodenectomia com Linfadenectomia (Cirurgia de Whiple)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PANCREATO-DUODENECETOMIA COM LINFADENECTOMIA – CID-10: C17.0, C24.1, C25.0, C25.1, C259, código CBHPM 31006078</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Tumor/ Neoplasia maligna periampular (cabeça do pâncreas, ampola Vater, duodeno ou vias biliares distais) ou neoplasia cística pancreática com potencial de malignização.</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Pancreatoduodenectomia é a cirurgia na qual se faz a retirada da cabeça do pâncreas, e todo o duodeno (primeira porção intestinal), colédoco distal (canal que drena a bile do fígado ao duodeno), e vesícula biliar, podendo ser realizada ou não a retirada parcial do estômago. A critério cirurgião poderá ser realizada a confecção de jejunostomia como via alimentar temporariamente. Após a retirada do tumor e dos órgãos em questão, é realizada a reconstrução do trânsito alimentar do estômago, das vias biliares e do pâncreas.</w:t>
      </w:r>
    </w:p>
    <w:p>
      <w:pPr>
        <w:pStyle w:val="Normal"/>
        <w:spacing w:lineRule="auto" w:line="240"/>
        <w:ind w:left="-567" w:right="-568"/>
        <w:jc w:val="both"/>
        <w:rPr>
          <w:rFonts w:cs="Calibri" w:cstheme="minorHAnsi"/>
        </w:rPr>
      </w:pPr>
      <w:r>
        <w:rPr>
          <w:rFonts w:cs="Calibri" w:cstheme="minorHAnsi"/>
        </w:rPr>
        <w:t xml:space="preserve">É indicada em geral no caso de tumores malignos periampulares (cabeça do pâncreas, ampola Vater, duodeno ou vias biliares distais) ou em caso de neoplasia cística pancreática com alto potencial de malignização. A via de acesso cirúrgica será definida pelo cirurgião, podendo ser realizada pelo método aberto convencional (com corte), por videolaparoscopia, híbrida (parte por videolaparoscopia e parte aberta convencional) ou ainda com auxílio robótico. Pode haver necessidade de conversão da técnica laparoscópica ou robótica para aberta durante o procedimento caso o cirurgião julgue ser mais seguro. </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Declaro ter sido informado (a) que na duodenopancreatectomia,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ind w:left="-567" w:right="-568"/>
        <w:jc w:val="both"/>
        <w:rPr>
          <w:rFonts w:cs="Calibri" w:cstheme="minorHAnsi"/>
        </w:rPr>
      </w:pPr>
      <w:r>
        <w:rPr>
          <w:rFonts w:cs="Calibri" w:cstheme="minorHAnsi"/>
        </w:rPr>
        <w:t xml:space="preserve">Fui também informado (a) de outros riscos específicos da duodenopancreatectomia: Fístula biliar (extravasamento de bile na reconstrução do trânsito biliar); fístula pancreática (extravasamento de secreção do pâncreas, cujo tratamento pode ser difícil e prolongado, exigindo a permanência de drenos por longo tempo; peritonite, que pode necessitar de novas intervenções cirúrgicas; fístulas gastro-intestinais; complicações relacionadas à jejunostomia (desabamento, obstrução e outros); sangramentos/ hemorragias transoperatórias ou pós-operatórias, podendo ser necessárias novas cirurgias e/ou necessidade de transfusão de sangue e derivados. </w:t>
      </w:r>
    </w:p>
    <w:p>
      <w:pPr>
        <w:pStyle w:val="Normal"/>
        <w:spacing w:lineRule="auto" w:line="240"/>
        <w:ind w:left="-567" w:right="-568"/>
        <w:jc w:val="both"/>
        <w:rPr>
          <w:rFonts w:cs="Calibri" w:cstheme="minorHAnsi"/>
        </w:rPr>
      </w:pPr>
      <w:r>
        <w:rPr>
          <w:rFonts w:cs="Calibri" w:cstheme="minorHAnsi"/>
        </w:rPr>
        <w:t>Ainda estou ciente que pode ocorrer recidiva do tumor pancreático ou ainda metástases a distância do tumor, mesmo após a cirurgia, e que tratamentos adicionais como quimioterapia podem ser necessários.</w:t>
      </w:r>
    </w:p>
    <w:p>
      <w:pPr>
        <w:pStyle w:val="Normal"/>
        <w:spacing w:lineRule="auto" w:line="24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Fui informado (a), ainda, que a duodenopancreatectomia é uma cirurgia potencialmente contaminada.</w:t>
      </w:r>
    </w:p>
    <w:p>
      <w:pPr>
        <w:pStyle w:val="Normal"/>
        <w:spacing w:lineRule="auto" w:line="240"/>
        <w:ind w:left="-567" w:right="-568"/>
        <w:jc w:val="both"/>
        <w:rPr>
          <w:rFonts w:cs="Calibri" w:cstheme="minorHAnsi"/>
          <w:b/>
          <w:bCs/>
        </w:rPr>
      </w:pPr>
      <w:r>
        <w:rPr>
          <w:rFonts w:cs="Calibri" w:cstheme="minorHAnsi"/>
          <w:b/>
          <w:bCs/>
        </w:rPr>
        <w:t xml:space="preserve">DA OCORRÊNCIA DE ACIDENTES COM EXPOSIÇÃO A FLUIDOS BIOLÓGICOS: </w:t>
      </w:r>
      <w:r>
        <w:rPr>
          <w:rFonts w:cs="Calibri" w:cstheme="minorHAnsi"/>
        </w:rPr>
        <w:t>Durante a realização de procedimentos invasivos, pode ocorrer algum acidente envolvendo um profissional de saúde, ou funcionário da instituição, no qual pode ocorrer o contato com o seu material biológico (sangue ou secreções).</w:t>
      </w:r>
    </w:p>
    <w:p>
      <w:pPr>
        <w:pStyle w:val="ListParagraph"/>
        <w:spacing w:lineRule="auto" w:line="240" w:before="0" w:after="0"/>
        <w:ind w:left="-567" w:right="-568"/>
        <w:contextualSpacing/>
        <w:jc w:val="both"/>
        <w:rPr>
          <w:rFonts w:cs="Calibri" w:cstheme="minorHAnsi"/>
        </w:rPr>
      </w:pPr>
      <w:r>
        <w:rPr>
          <w:rFonts w:cs="Calibri" w:cstheme="minorHAnsi"/>
        </w:rPr>
        <w:t>Com o objetivo de evitar tratamentos desnecessários e prevenir situações de risco ao profissional, a instituição adota um protocolo nacional, recomendado pelo Ministério da Saúde, de realização de exames de sangue tanto do paciente, quanto do profissional acidentado. Neste protocolo, são solicitados os exames para HIV/AIDS, hepatites B e C e sífilis. Para a realização destes exames será necessária uma coleta simples de sangue venoso, em torno de 10 ml, como realizada para qualquer outro exame convencional.</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O risco associado a este tipo de coleta é o de poder haver um pequeno derrame local (hematoma), que habitualmente não tem consequências, além de um pequeno desconforto local.</w:t>
      </w:r>
    </w:p>
    <w:p>
      <w:pPr>
        <w:pStyle w:val="ListParagraph"/>
        <w:spacing w:lineRule="auto" w:line="240" w:before="0" w:after="0"/>
        <w:ind w:left="-567" w:right="-568"/>
        <w:contextualSpacing/>
        <w:jc w:val="both"/>
        <w:rPr>
          <w:rFonts w:cs="Calibri" w:cstheme="minorHAnsi"/>
        </w:rPr>
      </w:pPr>
      <w:r>
        <w:rPr>
          <w:rFonts w:cs="Calibri" w:cstheme="minorHAnsi"/>
        </w:rPr>
        <w:t>- O benefício que você poderá vir a ter é de receber informações diagnósticas sobre estas doenças e orientações sobre o seu tratamento, se for o caso.</w:t>
      </w:r>
    </w:p>
    <w:p>
      <w:pPr>
        <w:pStyle w:val="ListParagraph"/>
        <w:spacing w:lineRule="auto" w:line="240" w:before="0" w:after="0"/>
        <w:ind w:left="-567" w:right="-568"/>
        <w:contextualSpacing/>
        <w:jc w:val="both"/>
        <w:rPr>
          <w:rFonts w:cs="Calibri" w:cstheme="minorHAnsi"/>
        </w:rPr>
      </w:pPr>
      <w:r>
        <w:rPr>
          <w:rFonts w:cs="Calibri" w:cstheme="minorHAnsi"/>
        </w:rPr>
        <w:t>- Todas as informações serão mantidas em sigilo, servindo unicamente para orientar a condução de tratamento do profissional acidentado. A sua equipe médica será informada a respeito dos resultados dos seus exames, que serão incluídos no seu prontuário médico.</w:t>
      </w:r>
    </w:p>
    <w:p>
      <w:pPr>
        <w:pStyle w:val="ListParagraph"/>
        <w:spacing w:lineRule="auto" w:line="240" w:before="0" w:after="0"/>
        <w:ind w:left="-567" w:right="-568"/>
        <w:contextualSpacing/>
        <w:jc w:val="both"/>
        <w:rPr>
          <w:rFonts w:cs="Calibri" w:cstheme="minorHAnsi"/>
        </w:rPr>
      </w:pPr>
      <w:r>
        <w:rPr>
          <w:rFonts w:cs="Calibri" w:cstheme="minorHAnsi"/>
        </w:rPr>
        <w:t>- Como protocolo institucional, o custo da realização destes exames não é repassado ao paciente ou à operadora do plano de saúde, sendo de inteira responsabilidade da instituição.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b/>
          <w:bCs/>
        </w:rPr>
      </w:pPr>
      <w:r>
        <w:rPr>
          <w:rFonts w:cs="Calibri" w:cstheme="minorHAnsi"/>
        </w:rPr>
        <w:t>Assim sendo, declaro concordar com a realização dos exames contidos no Protocolo de Acidentes com Exposição a Fluidos Biológicos, caso sejam necessários</w:t>
      </w:r>
      <w:r>
        <w:rPr>
          <w:rFonts w:cs="Calibri" w:cstheme="minorHAnsi"/>
          <w:b/>
          <w:bCs/>
        </w:rPr>
        <w:t>.</w:t>
      </w:r>
    </w:p>
    <w:p>
      <w:pPr>
        <w:pStyle w:val="Normal"/>
        <w:spacing w:lineRule="auto" w:line="24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Fui informado que o tratamento curativo dos tumores periampulares inclui, quase invariavelmente, a cirurgia de duodenopancreatectomia. Porém, em alguns casos de tumores benignos com potencial de malignização, a observação e acompanhamento periódicos com exames de imagem pode ser realizada, pesando-se o risco x benefício do acompanhamento de acordo com a evolução da lesão aos exames.</w:t>
      </w:r>
    </w:p>
    <w:p>
      <w:pPr>
        <w:pStyle w:val="Normal"/>
        <w:spacing w:lineRule="auto" w:line="240"/>
        <w:ind w:left="-567" w:right="-568"/>
        <w:jc w:val="both"/>
        <w:rPr>
          <w:rFonts w:cs="Calibri" w:cstheme="minorHAnsi"/>
        </w:rPr>
      </w:pPr>
      <w:r>
        <w:rPr>
          <w:rFonts w:cs="Calibri" w:cstheme="minorHAnsi"/>
        </w:rPr>
        <w:t>Em alguns casos, pode-se optar exclusivamente pela realização de quimioterapia para controle dos tumores malignos e evitar progressão tumoral. Pode-se ainda optar por tratamento cirúrgico minimamente invasivo através de drenagem biliar percutanea ou endoscopica no intuito de paliação e tratamento dos sintomas, sem intenção curativa.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os dados referentes a meu tratamento possam ser documentados, inclusive filmados e fotografados, para serem utilizados em reuniões médicas, trabalhos apresentados em congressos e publicados na literatura científica, resguardando o meu anonimato.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LibreOffice/7.6.2.1$Windows_X86_64 LibreOffice_project/56f7684011345957bbf33a7ee678afaf4d2ba333</Application>
  <AppVersion>15.0000</AppVersion>
  <Pages>5</Pages>
  <Words>1967</Words>
  <Characters>12911</Characters>
  <CharactersWithSpaces>14827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2024-01-25T10:31:32Z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