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73C17706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D82591">
              <w:rPr>
                <w:rFonts w:cstheme="minorHAnsi"/>
                <w:b/>
                <w:bCs/>
              </w:rPr>
              <w:t xml:space="preserve"> </w:t>
            </w:r>
            <w:r w:rsidR="00D82591" w:rsidRPr="00D82591">
              <w:rPr>
                <w:rFonts w:cstheme="minorHAnsi"/>
                <w:b/>
                <w:bCs/>
              </w:rPr>
              <w:t>Ressecção Endoscópica Bipolar da Próstata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0A852716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D82591" w:rsidRPr="00D82591">
        <w:rPr>
          <w:rFonts w:cstheme="minorHAnsi"/>
          <w:b/>
          <w:bCs/>
        </w:rPr>
        <w:t>Ressecção Endoscópica da Próstata</w:t>
      </w:r>
      <w:r w:rsidR="00D82591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C7AD76D" w14:textId="4B0B9CAC" w:rsidR="00F87E52" w:rsidRDefault="00F87E52" w:rsidP="00D82591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17864FEC" w14:textId="77777777" w:rsidR="00D82591" w:rsidRPr="00F87E52" w:rsidRDefault="00D82591" w:rsidP="00D82591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6565481" w14:textId="77777777" w:rsidR="00D82591" w:rsidRPr="00D82591" w:rsidRDefault="00D82591" w:rsidP="00D82591">
      <w:pPr>
        <w:spacing w:line="240" w:lineRule="auto"/>
        <w:ind w:left="-567" w:right="-568"/>
        <w:jc w:val="both"/>
        <w:rPr>
          <w:rFonts w:cstheme="minorHAnsi"/>
        </w:rPr>
      </w:pPr>
      <w:r w:rsidRPr="00D82591">
        <w:rPr>
          <w:rFonts w:cstheme="minorHAnsi"/>
          <w:b/>
          <w:bCs/>
        </w:rPr>
        <w:t>DIAGNÓSTICO</w:t>
      </w:r>
      <w:r w:rsidRPr="00D82591">
        <w:rPr>
          <w:rFonts w:cstheme="minorHAnsi"/>
        </w:rPr>
        <w:t>: Hiperplasia prostática benigna.</w:t>
      </w:r>
    </w:p>
    <w:p w14:paraId="68F4C91B" w14:textId="77777777" w:rsidR="00D82591" w:rsidRPr="00D82591" w:rsidRDefault="00D82591" w:rsidP="00D82591">
      <w:pPr>
        <w:spacing w:line="240" w:lineRule="auto"/>
        <w:ind w:left="-567" w:right="-568"/>
        <w:jc w:val="both"/>
        <w:rPr>
          <w:rFonts w:cstheme="minorHAnsi"/>
        </w:rPr>
      </w:pPr>
      <w:r w:rsidRPr="00D82591">
        <w:rPr>
          <w:rFonts w:cstheme="minorHAnsi"/>
          <w:b/>
          <w:bCs/>
        </w:rPr>
        <w:t>DEFINIÇÃO DO PROCEDIMENTO</w:t>
      </w:r>
      <w:r w:rsidRPr="00D82591">
        <w:rPr>
          <w:rFonts w:cstheme="minorHAnsi"/>
        </w:rPr>
        <w:t>: Procedimento endoscópico através da uretra para desobstrução do fluxo urinário.</w:t>
      </w:r>
    </w:p>
    <w:p w14:paraId="11D3EE8C" w14:textId="77777777" w:rsidR="00D82591" w:rsidRPr="00D82591" w:rsidRDefault="00D82591" w:rsidP="00D82591">
      <w:pPr>
        <w:spacing w:line="240" w:lineRule="auto"/>
        <w:ind w:left="-567" w:right="-568"/>
        <w:jc w:val="both"/>
        <w:rPr>
          <w:rFonts w:cstheme="minorHAnsi"/>
        </w:rPr>
      </w:pPr>
      <w:r w:rsidRPr="00D82591">
        <w:rPr>
          <w:rFonts w:cstheme="minorHAnsi"/>
          <w:b/>
          <w:bCs/>
        </w:rPr>
        <w:t>RISCOS, COMPLICAÇÕES</w:t>
      </w:r>
      <w:r w:rsidRPr="00D82591">
        <w:rPr>
          <w:rFonts w:cstheme="minorHAnsi"/>
        </w:rPr>
        <w:t xml:space="preserve">: </w:t>
      </w:r>
    </w:p>
    <w:p w14:paraId="0A732D41" w14:textId="77777777" w:rsidR="00D82591" w:rsidRPr="00D82591" w:rsidRDefault="00D82591" w:rsidP="00D82591">
      <w:pPr>
        <w:pStyle w:val="PargrafodaLista"/>
        <w:numPr>
          <w:ilvl w:val="0"/>
          <w:numId w:val="1"/>
        </w:numPr>
        <w:spacing w:line="240" w:lineRule="auto"/>
        <w:ind w:right="-568"/>
        <w:jc w:val="both"/>
        <w:rPr>
          <w:rFonts w:cstheme="minorHAnsi"/>
          <w:bCs/>
        </w:rPr>
      </w:pPr>
      <w:r w:rsidRPr="00D82591">
        <w:rPr>
          <w:rFonts w:cstheme="minorHAnsi"/>
          <w:bCs/>
        </w:rPr>
        <w:t>Sangramento durante ou após o procedimento;</w:t>
      </w:r>
    </w:p>
    <w:p w14:paraId="7F9BD985" w14:textId="77777777" w:rsidR="00D82591" w:rsidRPr="00D82591" w:rsidRDefault="00D82591" w:rsidP="00D82591">
      <w:pPr>
        <w:pStyle w:val="PargrafodaLista"/>
        <w:numPr>
          <w:ilvl w:val="0"/>
          <w:numId w:val="1"/>
        </w:numPr>
        <w:spacing w:line="240" w:lineRule="auto"/>
        <w:ind w:right="-568"/>
        <w:jc w:val="both"/>
        <w:rPr>
          <w:rFonts w:cstheme="minorHAnsi"/>
        </w:rPr>
      </w:pPr>
      <w:r w:rsidRPr="00D82591">
        <w:rPr>
          <w:rFonts w:cstheme="minorHAnsi"/>
        </w:rPr>
        <w:t xml:space="preserve">Necessidade eventual de </w:t>
      </w:r>
      <w:proofErr w:type="spellStart"/>
      <w:r w:rsidRPr="00D82591">
        <w:rPr>
          <w:rFonts w:cstheme="minorHAnsi"/>
        </w:rPr>
        <w:t>hemotransfusão</w:t>
      </w:r>
      <w:proofErr w:type="spellEnd"/>
      <w:r w:rsidRPr="00D82591">
        <w:rPr>
          <w:rFonts w:cstheme="minorHAnsi"/>
        </w:rPr>
        <w:t>;</w:t>
      </w:r>
    </w:p>
    <w:p w14:paraId="18F4CB64" w14:textId="2F3FB42E" w:rsidR="00D82591" w:rsidRPr="00D82591" w:rsidRDefault="00D82591" w:rsidP="00D82591">
      <w:pPr>
        <w:pStyle w:val="PargrafodaLista"/>
        <w:numPr>
          <w:ilvl w:val="0"/>
          <w:numId w:val="1"/>
        </w:numPr>
        <w:spacing w:line="240" w:lineRule="auto"/>
        <w:ind w:right="-568"/>
        <w:jc w:val="both"/>
        <w:rPr>
          <w:rFonts w:cstheme="minorHAnsi"/>
        </w:rPr>
      </w:pPr>
      <w:r w:rsidRPr="00D82591">
        <w:rPr>
          <w:rFonts w:cstheme="minorHAnsi"/>
        </w:rPr>
        <w:t xml:space="preserve">Incontinência urinária </w:t>
      </w:r>
      <w:r w:rsidRPr="00D82591">
        <w:rPr>
          <w:rFonts w:cstheme="minorHAnsi"/>
        </w:rPr>
        <w:t>pós-operatória</w:t>
      </w:r>
      <w:r w:rsidRPr="00D82591">
        <w:rPr>
          <w:rFonts w:cstheme="minorHAnsi"/>
        </w:rPr>
        <w:t xml:space="preserve"> (transitória ou não);</w:t>
      </w:r>
    </w:p>
    <w:p w14:paraId="022B696A" w14:textId="50A2B81B" w:rsidR="00D82591" w:rsidRPr="00D82591" w:rsidRDefault="00D82591" w:rsidP="00D82591">
      <w:pPr>
        <w:pStyle w:val="PargrafodaLista"/>
        <w:numPr>
          <w:ilvl w:val="0"/>
          <w:numId w:val="1"/>
        </w:numPr>
        <w:spacing w:line="240" w:lineRule="auto"/>
        <w:ind w:right="-568"/>
        <w:jc w:val="both"/>
        <w:rPr>
          <w:rFonts w:cstheme="minorHAnsi"/>
        </w:rPr>
      </w:pPr>
      <w:r w:rsidRPr="00D82591">
        <w:rPr>
          <w:rFonts w:cstheme="minorHAnsi"/>
        </w:rPr>
        <w:t xml:space="preserve">Sintomas urinários irritativos </w:t>
      </w:r>
      <w:r w:rsidRPr="00D82591">
        <w:rPr>
          <w:rFonts w:cstheme="minorHAnsi"/>
        </w:rPr>
        <w:t>pós-operatórios</w:t>
      </w:r>
      <w:r w:rsidRPr="00D82591">
        <w:rPr>
          <w:rFonts w:cstheme="minorHAnsi"/>
        </w:rPr>
        <w:t>;</w:t>
      </w:r>
    </w:p>
    <w:p w14:paraId="5677AFD1" w14:textId="353B4009" w:rsidR="00D82591" w:rsidRPr="00D82591" w:rsidRDefault="00D82591" w:rsidP="00D82591">
      <w:pPr>
        <w:pStyle w:val="PargrafodaLista"/>
        <w:numPr>
          <w:ilvl w:val="0"/>
          <w:numId w:val="1"/>
        </w:numPr>
        <w:spacing w:line="240" w:lineRule="auto"/>
        <w:ind w:right="-568"/>
        <w:jc w:val="both"/>
        <w:rPr>
          <w:rFonts w:cstheme="minorHAnsi"/>
        </w:rPr>
      </w:pPr>
      <w:r w:rsidRPr="00D82591">
        <w:rPr>
          <w:rFonts w:cstheme="minorHAnsi"/>
        </w:rPr>
        <w:lastRenderedPageBreak/>
        <w:t xml:space="preserve">Estenose de uretra ou esclerose de colo vesical </w:t>
      </w:r>
      <w:r w:rsidRPr="00D82591">
        <w:rPr>
          <w:rFonts w:cstheme="minorHAnsi"/>
        </w:rPr>
        <w:t>pós-operatórios</w:t>
      </w:r>
      <w:r w:rsidRPr="00D82591">
        <w:rPr>
          <w:rFonts w:cstheme="minorHAnsi"/>
        </w:rPr>
        <w:t>;</w:t>
      </w:r>
    </w:p>
    <w:p w14:paraId="48A0DA7E" w14:textId="77777777" w:rsidR="00D82591" w:rsidRPr="00D82591" w:rsidRDefault="00D82591" w:rsidP="00D82591">
      <w:pPr>
        <w:pStyle w:val="PargrafodaLista"/>
        <w:numPr>
          <w:ilvl w:val="0"/>
          <w:numId w:val="1"/>
        </w:numPr>
        <w:spacing w:line="240" w:lineRule="auto"/>
        <w:ind w:right="-568"/>
        <w:jc w:val="both"/>
        <w:rPr>
          <w:rFonts w:cstheme="minorHAnsi"/>
        </w:rPr>
      </w:pPr>
      <w:r w:rsidRPr="00D82591">
        <w:rPr>
          <w:rFonts w:cstheme="minorHAnsi"/>
        </w:rPr>
        <w:t xml:space="preserve">Necessidade de </w:t>
      </w:r>
      <w:proofErr w:type="spellStart"/>
      <w:r w:rsidRPr="00D82591">
        <w:rPr>
          <w:rFonts w:cstheme="minorHAnsi"/>
        </w:rPr>
        <w:t>reintervencão</w:t>
      </w:r>
      <w:proofErr w:type="spellEnd"/>
      <w:r w:rsidRPr="00D82591">
        <w:rPr>
          <w:rFonts w:cstheme="minorHAnsi"/>
        </w:rPr>
        <w:t xml:space="preserve"> cirúrgica;</w:t>
      </w:r>
    </w:p>
    <w:p w14:paraId="5DEADE07" w14:textId="7AC2F0E1" w:rsidR="00D82591" w:rsidRPr="00D82591" w:rsidRDefault="00D82591" w:rsidP="00D82591">
      <w:pPr>
        <w:pStyle w:val="PargrafodaLista"/>
        <w:numPr>
          <w:ilvl w:val="0"/>
          <w:numId w:val="1"/>
        </w:numPr>
        <w:spacing w:line="240" w:lineRule="auto"/>
        <w:ind w:right="-568"/>
        <w:jc w:val="both"/>
        <w:rPr>
          <w:rFonts w:cstheme="minorHAnsi"/>
        </w:rPr>
      </w:pPr>
      <w:r w:rsidRPr="00D82591">
        <w:rPr>
          <w:rFonts w:cstheme="minorHAnsi"/>
        </w:rPr>
        <w:t xml:space="preserve">Possibilidade rara em alguns casos de </w:t>
      </w:r>
      <w:r w:rsidRPr="00D82591">
        <w:rPr>
          <w:rFonts w:cstheme="minorHAnsi"/>
        </w:rPr>
        <w:t>pós-operatório</w:t>
      </w:r>
      <w:r w:rsidRPr="00D82591">
        <w:rPr>
          <w:rFonts w:cstheme="minorHAnsi"/>
        </w:rPr>
        <w:t xml:space="preserve"> em CTI</w:t>
      </w:r>
      <w:r>
        <w:rPr>
          <w:rFonts w:cstheme="minorHAnsi"/>
        </w:rPr>
        <w:t>;</w:t>
      </w:r>
    </w:p>
    <w:p w14:paraId="16548C9C" w14:textId="481EDF78" w:rsidR="00D82591" w:rsidRDefault="00D82591" w:rsidP="00D82591">
      <w:pPr>
        <w:pStyle w:val="PargrafodaLista"/>
        <w:numPr>
          <w:ilvl w:val="0"/>
          <w:numId w:val="1"/>
        </w:numPr>
        <w:spacing w:line="240" w:lineRule="auto"/>
        <w:ind w:right="-568"/>
        <w:jc w:val="both"/>
        <w:rPr>
          <w:rFonts w:cstheme="minorHAnsi"/>
        </w:rPr>
      </w:pPr>
      <w:r w:rsidRPr="00D82591">
        <w:rPr>
          <w:rFonts w:cstheme="minorHAnsi"/>
        </w:rPr>
        <w:t xml:space="preserve">Possibilidade de uso prolongado de sonda vesical de demora no </w:t>
      </w:r>
      <w:r w:rsidRPr="00D82591">
        <w:rPr>
          <w:rFonts w:cstheme="minorHAnsi"/>
        </w:rPr>
        <w:t>pós-operatório</w:t>
      </w:r>
      <w:r>
        <w:rPr>
          <w:rFonts w:cstheme="minorHAnsi"/>
        </w:rPr>
        <w:t>;</w:t>
      </w:r>
    </w:p>
    <w:p w14:paraId="32C09BCB" w14:textId="63CBA90E" w:rsidR="00D82591" w:rsidRPr="00D82591" w:rsidRDefault="00D82591" w:rsidP="00D82591">
      <w:pPr>
        <w:pStyle w:val="PargrafodaLista"/>
        <w:numPr>
          <w:ilvl w:val="0"/>
          <w:numId w:val="1"/>
        </w:numPr>
        <w:spacing w:line="240" w:lineRule="auto"/>
        <w:ind w:right="-568"/>
        <w:jc w:val="both"/>
        <w:rPr>
          <w:rFonts w:cstheme="minorHAnsi"/>
        </w:rPr>
      </w:pPr>
      <w:r>
        <w:rPr>
          <w:rFonts w:cstheme="minorHAnsi"/>
        </w:rPr>
        <w:t>Risco de óbito.</w:t>
      </w:r>
    </w:p>
    <w:p w14:paraId="44A2FCE3" w14:textId="77777777" w:rsidR="00D82591" w:rsidRPr="00D82591" w:rsidRDefault="00D82591" w:rsidP="00D82591">
      <w:pPr>
        <w:spacing w:line="240" w:lineRule="auto"/>
        <w:ind w:left="-567" w:right="-568"/>
        <w:jc w:val="both"/>
        <w:rPr>
          <w:rFonts w:cstheme="minorHAnsi"/>
        </w:rPr>
      </w:pPr>
      <w:r w:rsidRPr="00D82591">
        <w:rPr>
          <w:rFonts w:cstheme="minorHAnsi"/>
          <w:b/>
          <w:bCs/>
        </w:rPr>
        <w:t>TRATATAMENTOS ALTERNATIVOS</w:t>
      </w:r>
      <w:r w:rsidRPr="00D82591">
        <w:rPr>
          <w:rFonts w:cstheme="minorHAnsi"/>
        </w:rPr>
        <w:t xml:space="preserve">: </w:t>
      </w:r>
    </w:p>
    <w:p w14:paraId="3BCC5D7E" w14:textId="77777777" w:rsidR="00D82591" w:rsidRPr="00D82591" w:rsidRDefault="00D82591" w:rsidP="00D82591">
      <w:pPr>
        <w:pStyle w:val="PargrafodaLista"/>
        <w:numPr>
          <w:ilvl w:val="0"/>
          <w:numId w:val="2"/>
        </w:numPr>
        <w:spacing w:line="240" w:lineRule="auto"/>
        <w:ind w:right="-568"/>
        <w:jc w:val="both"/>
        <w:rPr>
          <w:rFonts w:cstheme="minorHAnsi"/>
          <w:bCs/>
        </w:rPr>
      </w:pPr>
      <w:r w:rsidRPr="00D82591">
        <w:rPr>
          <w:rFonts w:cstheme="minorHAnsi"/>
          <w:bCs/>
        </w:rPr>
        <w:t>Uso de medicamentos orais para tratamento da HPB (apesar da indicação cirúrgica contemplar na maioria das vezes a falha de tratamento medicamentoso).</w:t>
      </w:r>
    </w:p>
    <w:p w14:paraId="27D2F3B4" w14:textId="6CE80F19" w:rsidR="00F87E52" w:rsidRPr="00D82591" w:rsidRDefault="00D82591" w:rsidP="00D82591">
      <w:pPr>
        <w:pStyle w:val="PargrafodaLista"/>
        <w:numPr>
          <w:ilvl w:val="0"/>
          <w:numId w:val="2"/>
        </w:numPr>
        <w:spacing w:line="240" w:lineRule="auto"/>
        <w:ind w:right="-568"/>
        <w:jc w:val="both"/>
        <w:rPr>
          <w:rFonts w:cstheme="minorHAnsi"/>
        </w:rPr>
      </w:pPr>
      <w:r w:rsidRPr="00D82591">
        <w:rPr>
          <w:rFonts w:cstheme="minorHAnsi"/>
        </w:rPr>
        <w:t>Cirurgia aberta, laparoscópica, robótica para hiperplasia prostática benigna.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</w:t>
      </w:r>
      <w:r w:rsidRPr="00F87E52">
        <w:rPr>
          <w:rFonts w:cstheme="minorHAnsi"/>
        </w:rPr>
        <w:lastRenderedPageBreak/>
        <w:t xml:space="preserve">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C85D5" w14:textId="77777777" w:rsidR="004170C2" w:rsidRDefault="004170C2" w:rsidP="00BA0F6C">
      <w:pPr>
        <w:spacing w:after="0" w:line="240" w:lineRule="auto"/>
      </w:pPr>
      <w:r>
        <w:separator/>
      </w:r>
    </w:p>
  </w:endnote>
  <w:endnote w:type="continuationSeparator" w:id="0">
    <w:p w14:paraId="13E93931" w14:textId="77777777" w:rsidR="004170C2" w:rsidRDefault="004170C2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3C001" w14:textId="77777777" w:rsidR="004170C2" w:rsidRDefault="004170C2" w:rsidP="00BA0F6C">
      <w:pPr>
        <w:spacing w:after="0" w:line="240" w:lineRule="auto"/>
      </w:pPr>
      <w:r>
        <w:separator/>
      </w:r>
    </w:p>
  </w:footnote>
  <w:footnote w:type="continuationSeparator" w:id="0">
    <w:p w14:paraId="445113EA" w14:textId="77777777" w:rsidR="004170C2" w:rsidRDefault="004170C2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4454D"/>
    <w:multiLevelType w:val="hybridMultilevel"/>
    <w:tmpl w:val="D172B6EE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F1B0841"/>
    <w:multiLevelType w:val="hybridMultilevel"/>
    <w:tmpl w:val="AA38C98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4170C2"/>
    <w:rsid w:val="00546ABD"/>
    <w:rsid w:val="0073173C"/>
    <w:rsid w:val="0097574A"/>
    <w:rsid w:val="00ACA831"/>
    <w:rsid w:val="00B87881"/>
    <w:rsid w:val="00BA0F6C"/>
    <w:rsid w:val="00BF739A"/>
    <w:rsid w:val="00C7400F"/>
    <w:rsid w:val="00D82591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1379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