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Segmentectomia por Videotoracoscopia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Segmentectomia por Videotoracoscopia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Lesão pulmonar.</w:t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Ressecção cirúrgica, por videotoracoscopia, de um segmento de um lobo pulmonar. </w:t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 Hemorragias (sangramentos); Pneumotórax contra-lateral (lesão da pleura ou pulmonar); Fratura de costela; Fístula periférica ou broncopleural (vazamento de ar temporário); Fístula broncovascular (sangramento para dentro do pulmão); Hematomas; Infecção de ferida operatória; Infarto do miocárdio; Edema pulmonar (líquido em excesso no pulmão por alterações pulmonares ou cardíacas); Insuficiência respiratória (falta de ar); Atelectasias (retenção de secreções nos pulmões); Pneumonias; Infarto pulmonar; Fístula broncopleural (comunicação do brônquio com a pleura com saída de ar prolongada); Empiema pleural (pus na cavidade pleural); Hemoptise (escarro com sangue); Derrame pleural (líquido na pleural); Lesão de esôfago; Enfisema subcutâneo (ar embaixo da pele); Embolia tumoral (obstrução de vasos por êmbolos tumorais); Trombose venosa profunda (formação de coágulos no sangue por tumor ou estado de coagulação alterado); Insuficiência renal; Embolia pulmonar (êmbolo de sangue, ar, ou gordura obstruindo a circulação pulmonar, levando a dificuldade respiratória); Acidente vascular cerebral (derrame); Lesão de plexo braquial (nervos que inervam o membro superior); Neuralgia intercostal prolongada (dor amortecimento pós-operatória); Estenose de traquéia e/ou laríngea (diminuição da luz por necessidade de intubação prolongada); Reestenose após cirurgia traqueal e ou laríngea para estenose; Necessidade de reintervenção (novas cirurgias); Necessidade de conversão para toracotomia; Parada respiratória; Parada cardíaca; Recidiva da patologia; Possibilidade de cicatrizes com formação de quelóides (cicatriz hipertrófica-grosseira).</w:t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994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Punção guiada.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/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/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Certifico que li este termo, o que foi explicado p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a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4</Pages>
  <Words>1296</Words>
  <Characters>8979</Characters>
  <CharactersWithSpaces>10230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2024-01-26T09:03:51Z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