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Simpatectomia por Videotoracoscopia Bilateral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Simpatectomia por Videotoracoscopia Bilateral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Hiper-hidrose localizada.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Simpatectomia por Videotoracoscopia Bilateral é a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>eletrocoagulação, por videotoracoscopia</w:t>
      </w:r>
      <w:r>
        <w:rPr>
          <w:rFonts w:cs="Calibri" w:cstheme="minorHAnsi"/>
          <w:b/>
          <w:bCs/>
        </w:rPr>
        <w:t xml:space="preserve">, </w:t>
      </w:r>
      <w:r>
        <w:rPr>
          <w:rFonts w:cs="Calibri" w:cstheme="minorHAnsi"/>
        </w:rPr>
        <w:t>da cadeia simpática sobre as costelas R4, R5.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1. Hemorragias – lesão de grandes vasos (necessidade de conversão para cirurgia aberta).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2. Perfuração pulmonar (pneumotórax).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3. Infecção de ferida operatória.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4. Hiperhidrose compensatória (suor excessivo em outras partes do corpo/ principalmente dorso, abdome e pernas).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5. Neuralgia intercostal (dor e/ou amortecimento no tórax).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6. Síndrome de Horner (ptose – pálpebra caída, miose – pupila diminuídas de tamanho e enoftalmina – olho para dentro).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7. Lesão de esôfago.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8. Hematomas.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9. Recidiva. </w:t>
      </w:r>
    </w:p>
    <w:p>
      <w:pPr>
        <w:pStyle w:val="Normal"/>
        <w:spacing w:lineRule="auto" w:line="240"/>
        <w:ind w:left="-567" w:right="-427"/>
        <w:rPr>
          <w:rFonts w:cs="Calibri" w:cstheme="minorHAnsi"/>
        </w:rPr>
      </w:pPr>
      <w:r>
        <w:rPr>
          <w:rFonts w:cs="Calibri" w:cstheme="minorHAnsi"/>
        </w:rPr>
        <w:t xml:space="preserve">10. Possibilidade de cicatrizes com formação de quelóides (cicatriz hipertrófica-grosseira). </w:t>
      </w:r>
    </w:p>
    <w:p>
      <w:pPr>
        <w:pStyle w:val="Normal"/>
        <w:spacing w:lineRule="auto" w:line="240"/>
        <w:ind w:left="-567" w:right="-427"/>
        <w:rPr>
          <w:rFonts w:cs="Calibri" w:cstheme="minorHAnsi"/>
          <w:b/>
          <w:bCs/>
        </w:rPr>
      </w:pPr>
      <w:r>
        <w:rPr>
          <w:rFonts w:cs="Calibri" w:cstheme="minorHAnsi"/>
        </w:rPr>
        <w:t>11. Risco de Óbito.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crioprecipitado etc), de um indivíduo&gt;doador para o Paciente&gt;receptor.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1176</Words>
  <Characters>8112</Characters>
  <CharactersWithSpaces>9247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