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Videoartroscopia do Quadril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kern w:val="0"/>
          <w:sz w:val="22"/>
          <w:szCs w:val="22"/>
          <w:lang w:val="pt-BR" w:eastAsia="en-US" w:bidi="ar-SA"/>
        </w:rPr>
        <w:t>Videoartroscopia do Quadril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IFA/lesão labral 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Cirurgia realizada por via endoscópica e que visa avaliar a articulação do quadril 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Estou ciente de que o procedimento tem os seguintes riscos potenciais:</w:t>
      </w:r>
    </w:p>
    <w:p>
      <w:pPr>
        <w:pStyle w:val="Normal"/>
        <w:numPr>
          <w:ilvl w:val="0"/>
          <w:numId w:val="2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Infecção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Soltura dos materiais implantados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Rejeição dos materiais implantados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Lesões musculares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Claudicação (mancar)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Dor pós operatória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Lesões na pele por tração, principalmente em região inguinal e/ou escrotal e região medial da coxa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Incontinência urinária temporária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Impotência sexual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Internação prolongada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Cicatriz cirúrgica hipertrófica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Necessidade de uso de orteses (muletas, andador, palmilhas) para se locomover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Deficits de sensibilidade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Reações alérgicas a medicamentos utilizados ou a anestesia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Parada cardíaca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cs="Calibri" w:cstheme="minorHAnsi"/>
        </w:rPr>
        <w:t>Óbito</w:t>
      </w:r>
    </w:p>
    <w:p>
      <w:pPr>
        <w:pStyle w:val="Normal"/>
        <w:numPr>
          <w:ilvl w:val="0"/>
          <w:numId w:val="0"/>
        </w:numPr>
        <w:spacing w:lineRule="auto" w:line="240" w:before="0" w:after="86"/>
        <w:ind w:left="153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Realizar o controle da dor de forma não cirúrgica com medicamentos e fisioterapia.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</w:t>
      </w:r>
      <w:r>
        <w:rPr>
          <w:rFonts w:cs="Calibri" w:cstheme="minorHAnsi"/>
        </w:rPr>
        <w:t>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9</w:t>
      </w:r>
      <w:r>
        <w:rPr>
          <w:rFonts w:cs="Calibri" w:cstheme="minorHAnsi"/>
          <w:sz w:val="22"/>
          <w:szCs w:val="22"/>
        </w:rPr>
        <w:t xml:space="preserve">. </w:t>
      </w:r>
      <w:r>
        <w:rPr>
          <w:rFonts w:cs="Calibri" w:cstheme="minorHAnsi"/>
          <w:sz w:val="22"/>
          <w:szCs w:val="22"/>
          <w:shd w:fill="FFFFFF" w:val="clear"/>
        </w:rPr>
        <w:t>Fui orientada que, em caso de complicação de procedimento eletivo ou qualquer sintoma descrito como complicação, sejam eles quais forem, é de minha responsabilidade procurar pronto atendimento médico para avaliação e conduta em caso de necessidade de urgência, o mais rápido possível. Entendo que no pronto atendimento médico serei atendida pelo médico plantonista, que é tecnicamente capaz de sanar as possíveis urgências que se estabeleçam.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Microsoft Sans Serif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Calibri" w:cs="Microsoft Sans Serif"/>
      <w:color w:val="000000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LibreOffice/7.2.7.2$Windows_X86_64 LibreOffice_project/8d71d29d553c0f7dcbfa38fbfda25ee34cce99a2</Application>
  <AppVersion>15.0000</AppVersion>
  <Pages>4</Pages>
  <Words>1158</Words>
  <Characters>7799</Characters>
  <CharactersWithSpaces>8883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2022-12-23T11:57:07Z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