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hanging="0"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Ascii"/>
                <w:b/>
                <w:bCs/>
              </w:rPr>
            </w:pPr>
            <w:r>
              <w:rPr>
                <w:rFonts w:eastAsia="Calibri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Cirurgia Ortognática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hanging="0"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hanging="0"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hanging="0" w:left="426" w:right="-42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  <w:t>Por este instrumento particular, o Paciente, ou o seu Responsável, declara para todos os fins de direito que, em especial para fins do disposto nos artigos 6º, III e 39, VI, ambos da Lei 8.078/90 (“</w:t>
      </w:r>
      <w:r>
        <w:rPr>
          <w:rFonts w:cs="Calibri" w:cstheme="minorAscii"/>
          <w:u w:val="single"/>
        </w:rPr>
        <w:t>Código de Defesa do Consumidor</w:t>
      </w:r>
      <w:r>
        <w:rPr>
          <w:rFonts w:cs="Calibri" w:cstheme="minorAscii"/>
        </w:rPr>
        <w:t>” ou “</w:t>
      </w:r>
      <w:r>
        <w:rPr>
          <w:rFonts w:cs="Calibri" w:cstheme="minorAscii"/>
          <w:u w:val="single"/>
        </w:rPr>
        <w:t>CDC</w:t>
      </w:r>
      <w:r>
        <w:rPr>
          <w:rFonts w:cs="Calibri" w:cstheme="minorAscii"/>
        </w:rPr>
        <w:t xml:space="preserve">”), </w:t>
      </w:r>
      <w:r>
        <w:rPr>
          <w:rFonts w:cs="Calibri" w:cstheme="minorAscii"/>
          <w:b/>
          <w:bCs/>
        </w:rPr>
        <w:t>que, sem qualquer vício de vontade ou consentimento, dá total autorização</w:t>
      </w:r>
      <w:r>
        <w:rPr>
          <w:rFonts w:cs="Calibri" w:cstheme="minorAsci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Ascii"/>
          <w:b/>
          <w:bCs/>
        </w:rPr>
        <w:t>Cirurgia Ortognática</w:t>
      </w:r>
      <w:r>
        <w:rPr>
          <w:rFonts w:cs="Calibri" w:cstheme="minorAscii"/>
        </w:rPr>
        <w:t xml:space="preserve"> (o “</w:t>
      </w:r>
      <w:r>
        <w:rPr>
          <w:rFonts w:cs="Calibri" w:cstheme="minorAscii"/>
          <w:u w:val="single"/>
        </w:rPr>
        <w:t>Procedimento</w:t>
      </w:r>
      <w:r>
        <w:rPr>
          <w:rFonts w:cs="Calibri" w:cstheme="minorAsci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/>
        <w:ind w:hanging="0"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/>
        <w:ind w:hanging="0" w:left="-567" w:right="-568"/>
        <w:jc w:val="both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cs="Calibri" w:cstheme="minorAscii"/>
          <w:b/>
          <w:bCs/>
        </w:rPr>
        <w:t>DIAGNÓSTICO</w:t>
      </w:r>
      <w:r>
        <w:rPr>
          <w:rFonts w:cs="Calibri" w:cstheme="minorAscii"/>
        </w:rPr>
        <w:t>: Correção de</w:t>
      </w:r>
      <w:r>
        <w:rPr>
          <w:rFonts w:eastAsia="Calibri" w:cs="Calibri"/>
          <w:sz w:val="22"/>
          <w:szCs w:val="22"/>
          <w:lang w:val="pt-BR"/>
        </w:rPr>
        <w:t xml:space="preserve"> deformidades maxilares e do aparelho mastigatório</w:t>
      </w:r>
    </w:p>
    <w:p>
      <w:pPr>
        <w:pStyle w:val="Normal"/>
        <w:bidi w:val="0"/>
        <w:spacing w:lineRule="auto" w:line="240" w:beforeAutospacing="0" w:before="0" w:afterAutospacing="0" w:after="200"/>
        <w:ind w:hanging="0" w:left="-567" w:right="-568"/>
        <w:jc w:val="both"/>
        <w:rPr>
          <w:rFonts w:cs="Calibri" w:cstheme="minorAscii"/>
          <w:lang w:val="pt-BR"/>
        </w:rPr>
      </w:pPr>
      <w:r>
        <w:rPr>
          <w:rFonts w:cs="Calibri" w:cstheme="minorAscii"/>
          <w:b/>
          <w:bCs/>
        </w:rPr>
        <w:t>DEFINIÇÃO DO PROCEDIMENTO</w:t>
      </w:r>
      <w:r>
        <w:rPr>
          <w:rFonts w:cs="Calibri" w:cstheme="minorAscii"/>
        </w:rPr>
        <w:t xml:space="preserve">: </w:t>
      </w:r>
      <w:r>
        <w:rPr>
          <w:rFonts w:cs="Calibri" w:cstheme="minorAscii"/>
          <w:lang w:val="pt-BR"/>
        </w:rPr>
        <w:t xml:space="preserve">A cirurgia é feita em ambiente hospitalar sob </w:t>
      </w:r>
      <w:hyperlink r:id="rId2">
        <w:r>
          <w:rPr>
            <w:rFonts w:cs="Calibri" w:cstheme="minorAscii"/>
            <w:lang w:val="pt-BR"/>
          </w:rPr>
          <w:t>anestesia</w:t>
        </w:r>
      </w:hyperlink>
      <w:r>
        <w:rPr>
          <w:rFonts w:cs="Calibri" w:cstheme="minorAscii"/>
          <w:lang w:val="pt-BR"/>
        </w:rPr>
        <w:t xml:space="preserve"> geral. Nela, são </w:t>
      </w:r>
      <w:bookmarkStart w:id="0" w:name="_Int_4TuBCCWY"/>
      <w:r>
        <w:rPr>
          <w:rFonts w:cs="Calibri" w:cstheme="minorAscii"/>
          <w:lang w:val="pt-BR"/>
        </w:rPr>
        <w:t>utilizadas</w:t>
      </w:r>
      <w:bookmarkEnd w:id="0"/>
      <w:r>
        <w:rPr>
          <w:rFonts w:cs="Calibri" w:cstheme="minorAscii"/>
          <w:lang w:val="pt-BR"/>
        </w:rPr>
        <w:t xml:space="preserve"> serras, parafusos e placas de titânio para realinhar as estruturas da mandíbula e da maxila. O procedimento é todo realizado dentro da boca, sem cicatrizes visíveis.</w:t>
      </w:r>
    </w:p>
    <w:p>
      <w:pPr>
        <w:pStyle w:val="Normal"/>
        <w:spacing w:lineRule="auto" w:line="240"/>
        <w:ind w:hanging="0" w:left="-567" w:right="-568"/>
        <w:jc w:val="left"/>
        <w:rPr>
          <w:rFonts w:cs="Calibri" w:cstheme="minorAscii"/>
          <w:b/>
          <w:bCs/>
        </w:rPr>
      </w:pPr>
      <w:r>
        <w:rPr>
          <w:rFonts w:cs="Calibri" w:cstheme="minorAscii"/>
          <w:b/>
          <w:bCs/>
        </w:rPr>
        <w:t xml:space="preserve">RISCOS, COMPLICAÇÕES, BENEFÍCIOS: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Autospacing="0" w:before="0" w:afterAutospacing="0" w:after="0"/>
        <w:ind w:hanging="360" w:left="720" w:right="-568"/>
        <w:contextualSpacing/>
        <w:jc w:val="both"/>
        <w:rPr>
          <w:rFonts w:cs="Calibri" w:cstheme="minorAscii"/>
        </w:rPr>
      </w:pPr>
      <w:r>
        <w:rPr>
          <w:rFonts w:cs="Calibri" w:cstheme="minorAscii"/>
        </w:rPr>
        <w:t>Risco de parestesia temporária ou definitiva da pele da face;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Autospacing="0" w:before="0" w:afterAutospacing="0" w:after="0"/>
        <w:ind w:hanging="360" w:left="720" w:right="-568"/>
        <w:contextualSpacing/>
        <w:jc w:val="both"/>
        <w:rPr>
          <w:rFonts w:cs="Calibri" w:cstheme="minorAscii"/>
        </w:rPr>
      </w:pPr>
      <w:r>
        <w:rPr>
          <w:rFonts w:cs="Calibri" w:cstheme="minorAscii"/>
        </w:rPr>
        <w:t>Edema (inchaço) na minha face;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Autospacing="0" w:before="0" w:afterAutospacing="0" w:after="0"/>
        <w:ind w:hanging="360" w:left="720" w:right="-568"/>
        <w:contextualSpacing/>
        <w:jc w:val="both"/>
        <w:rPr>
          <w:rFonts w:cs="Calibri" w:cstheme="minorAscii"/>
        </w:rPr>
      </w:pPr>
      <w:r>
        <w:rPr>
          <w:rFonts w:cs="Calibri" w:cstheme="minorAscii"/>
        </w:rPr>
        <w:t>Obstrução nasal no pós-operatório;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Autospacing="0" w:before="0" w:afterAutospacing="0" w:after="0"/>
        <w:ind w:hanging="360" w:left="720" w:right="-568"/>
        <w:contextualSpacing/>
        <w:jc w:val="both"/>
        <w:rPr>
          <w:rFonts w:cs="Calibri" w:cstheme="minorAscii"/>
        </w:rPr>
      </w:pPr>
      <w:r>
        <w:rPr>
          <w:rFonts w:cs="Calibri" w:cstheme="minorAscii"/>
        </w:rPr>
        <w:t>Possibilidade de aparecimento de sintomas (estalos ou dor) em articulações temporomandibulares (ATM) com eventual necessidade de tratamento específico por especialistas em DTM (disfunção temporomandibular)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Autospacing="0" w:before="0" w:afterAutospacing="0" w:after="0"/>
        <w:ind w:hanging="360" w:left="720" w:right="-568"/>
        <w:contextualSpacing/>
        <w:jc w:val="both"/>
        <w:rPr>
          <w:rFonts w:cs="Calibri" w:cstheme="minorAscii"/>
        </w:rPr>
      </w:pPr>
      <w:r>
        <w:rPr>
          <w:rFonts w:cs="Calibri" w:cstheme="minorAscii"/>
        </w:rPr>
        <w:t>Necessidade de internação hospitalar por período médio de 2 dias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Autospacing="0" w:before="0" w:afterAutospacing="0" w:after="0"/>
        <w:ind w:hanging="360" w:left="720" w:right="-568"/>
        <w:contextualSpacing/>
        <w:jc w:val="both"/>
        <w:rPr>
          <w:rFonts w:cs="Calibri" w:cstheme="minorAscii"/>
        </w:rPr>
      </w:pPr>
      <w:r>
        <w:rPr>
          <w:rFonts w:cs="Calibri" w:cstheme="minorAscii"/>
        </w:rPr>
        <w:t>Alteração estética do nariz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Autospacing="0" w:before="0" w:afterAutospacing="0" w:after="0"/>
        <w:ind w:hanging="360" w:left="720" w:right="-568"/>
        <w:contextualSpacing/>
        <w:jc w:val="both"/>
        <w:rPr>
          <w:rFonts w:cs="Calibri" w:cstheme="minorAscii"/>
        </w:rPr>
      </w:pPr>
      <w:r>
        <w:rPr>
          <w:rFonts w:cs="Calibri" w:cstheme="minorAscii"/>
        </w:rPr>
        <w:t>Alteração da estética facial atual, compatível com a devolução da proporção esquelética da face. Não há como antecipar esse resultado por meio de exames ou imagens e, embora a maioria das pessoas operadas de cirurgia ortognática sintam-se satisfeitas com o resultado relativo à estética, esse sentimento pode ocasionalmente não ocorrer e o(a) paciente ter interesse em fazer complementações de caráter estético num futuro, procedimentos esses que não fazem parte integrante da cirurgia ortognática;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Autospacing="0" w:before="0" w:afterAutospacing="0" w:after="0"/>
        <w:ind w:hanging="360" w:left="720" w:right="-568"/>
        <w:contextualSpacing/>
        <w:jc w:val="both"/>
        <w:rPr>
          <w:rFonts w:cs="Calibri" w:cstheme="minorAscii"/>
        </w:rPr>
      </w:pPr>
      <w:r>
        <w:rPr>
          <w:rFonts w:cs="Calibri" w:cstheme="minorAscii"/>
        </w:rPr>
        <w:t>Necessidade de acompanhamento pós operatório com Fonoaudiologia e eventualmente Fisioterapia, a ser iniciado de acordo com orientação do cirurgião;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Autospacing="0" w:before="0" w:afterAutospacing="0" w:after="200"/>
        <w:ind w:hanging="360" w:left="720" w:right="-568"/>
        <w:contextualSpacing/>
        <w:jc w:val="both"/>
        <w:rPr>
          <w:rFonts w:cs="Calibri" w:cstheme="minorAscii"/>
        </w:rPr>
      </w:pPr>
      <w:r>
        <w:rPr>
          <w:rFonts w:cs="Calibri" w:cstheme="minorAscii"/>
        </w:rPr>
        <w:t>Em caso de concomitância da cirurgia ortognática com emprego de prótese total de ATM (articulação temporomandibular), haverá a necessidade de acesso extraoral com incisões em região pré auricular e submandibular, assim como o risco de alterações da mímica facial.</w:t>
      </w:r>
    </w:p>
    <w:p>
      <w:pPr>
        <w:pStyle w:val="Normal"/>
        <w:bidi w:val="0"/>
        <w:spacing w:lineRule="auto" w:line="240" w:beforeAutospacing="0" w:before="0" w:afterAutospacing="0" w:after="200"/>
        <w:ind w:hanging="0" w:left="-567" w:right="-568"/>
        <w:jc w:val="both"/>
        <w:rPr>
          <w:rFonts w:cs="Calibri" w:cstheme="minorAscii"/>
          <w:lang w:val="pt-BR"/>
        </w:rPr>
      </w:pPr>
      <w:r>
        <w:rPr>
          <w:rFonts w:cs="Calibri" w:cstheme="minorAscii"/>
          <w:b/>
          <w:bCs/>
          <w:lang w:val="pt-BR"/>
        </w:rPr>
        <w:t xml:space="preserve">Infecção relacionada à assistência à saúde:  </w:t>
      </w:r>
      <w:r>
        <w:rPr>
          <w:rFonts w:cs="Calibri" w:cstheme="minorAscii"/>
          <w:lang w:val="pt-BR"/>
        </w:rPr>
        <w:t xml:space="preserve">A legislação nacional vigente obriga os hospitais a manterem uma comissão e um programa de prevenção de infecções relacionadas à assistência à saúde. De acordo com a Agência nacional de Vigilância sanitária (ANVISA) e com o National Healthcare Safety Network (NHSN), as taxas aceitáveis de infecção para cada potencial de contaminação cirúrgica são: </w:t>
      </w:r>
    </w:p>
    <w:p>
      <w:pPr>
        <w:pStyle w:val="Normal"/>
        <w:bidi w:val="0"/>
        <w:spacing w:lineRule="auto" w:line="240" w:beforeAutospacing="0" w:before="0" w:afterAutospacing="0" w:after="200"/>
        <w:ind w:hanging="0" w:left="-567" w:right="-568"/>
        <w:jc w:val="both"/>
        <w:rPr>
          <w:rFonts w:cs="Calibri" w:cstheme="minorAscii"/>
          <w:lang w:val="pt-BR"/>
        </w:rPr>
      </w:pPr>
      <w:r>
        <w:rPr>
          <w:rFonts w:cs="Calibri" w:cstheme="minorAscii"/>
          <w:lang w:val="pt-BR"/>
        </w:rPr>
        <w:t xml:space="preserve">• </w:t>
      </w:r>
      <w:r>
        <w:rPr>
          <w:rFonts w:cs="Calibri" w:cstheme="minorAscii"/>
          <w:lang w:val="pt-BR"/>
        </w:rPr>
        <w:t xml:space="preserve">Cirurgias limpas: até 4% </w:t>
      </w:r>
    </w:p>
    <w:p>
      <w:pPr>
        <w:pStyle w:val="Normal"/>
        <w:bidi w:val="0"/>
        <w:spacing w:lineRule="auto" w:line="240" w:beforeAutospacing="0" w:before="0" w:afterAutospacing="0" w:after="200"/>
        <w:ind w:hanging="0" w:left="-567" w:right="-568"/>
        <w:jc w:val="both"/>
        <w:rPr>
          <w:rFonts w:cs="Calibri" w:cstheme="minorAscii"/>
          <w:lang w:val="pt-BR"/>
        </w:rPr>
      </w:pPr>
      <w:r>
        <w:rPr>
          <w:rFonts w:cs="Calibri" w:cstheme="minorAscii"/>
          <w:lang w:val="pt-BR"/>
        </w:rPr>
        <w:t xml:space="preserve">• </w:t>
      </w:r>
      <w:r>
        <w:rPr>
          <w:rFonts w:cs="Calibri" w:cstheme="minorAscii"/>
          <w:lang w:val="pt-BR"/>
        </w:rPr>
        <w:t xml:space="preserve">Cirurgias potencialmente contaminadas: até 10% </w:t>
      </w:r>
    </w:p>
    <w:p>
      <w:pPr>
        <w:pStyle w:val="Normal"/>
        <w:bidi w:val="0"/>
        <w:spacing w:lineRule="auto" w:line="240" w:beforeAutospacing="0" w:before="0" w:afterAutospacing="0" w:after="200"/>
        <w:ind w:hanging="0" w:left="-567" w:right="-568"/>
        <w:jc w:val="both"/>
        <w:rPr>
          <w:rFonts w:cs="Calibri" w:cstheme="minorAscii"/>
          <w:lang w:val="pt-BR"/>
        </w:rPr>
      </w:pPr>
      <w:r>
        <w:rPr>
          <w:rFonts w:cs="Calibri" w:cstheme="minorAscii"/>
          <w:lang w:val="pt-BR"/>
        </w:rPr>
        <w:t xml:space="preserve">• </w:t>
      </w:r>
      <w:r>
        <w:rPr>
          <w:rFonts w:cs="Calibri" w:cstheme="minorAscii"/>
          <w:lang w:val="pt-BR"/>
        </w:rPr>
        <w:t xml:space="preserve">Cirurgias contaminadas: até 17% </w:t>
      </w:r>
    </w:p>
    <w:p>
      <w:pPr>
        <w:pStyle w:val="Normal"/>
        <w:bidi w:val="0"/>
        <w:spacing w:lineRule="auto" w:line="240" w:beforeAutospacing="0" w:before="0" w:afterAutospacing="0" w:after="200"/>
        <w:ind w:hanging="0" w:left="-567" w:right="-568"/>
        <w:jc w:val="both"/>
        <w:rPr>
          <w:rFonts w:cs="Calibri" w:cstheme="minorAscii"/>
          <w:lang w:val="pt-BR"/>
        </w:rPr>
      </w:pPr>
      <w:r>
        <w:rPr>
          <w:rFonts w:cs="Calibri" w:cstheme="minorAscii"/>
          <w:lang w:val="pt-BR"/>
        </w:rPr>
        <w:t>Mesmo tomando-se todas as medidas possíveis para a prevenção de infecções, tanto por parte do cirurgião e equipe, quanto por parte do hospital, esse risco existe e deve sempre ser considerado.</w:t>
      </w:r>
    </w:p>
    <w:p>
      <w:pPr>
        <w:pStyle w:val="Normal"/>
        <w:spacing w:lineRule="auto" w:line="240"/>
        <w:ind w:hanging="0" w:left="-567" w:right="-568"/>
        <w:jc w:val="both"/>
        <w:rPr>
          <w:rFonts w:eastAsia="Arial Unicode MS" w:cs="Calibri" w:cstheme="minorAscii"/>
          <w:u w:val="single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Calibri" w:cstheme="minorAscii"/>
          <w:u w:val="single"/>
        </w:rPr>
        <w:t>Declaro, adicionalmente, que:</w:t>
      </w:r>
      <w:r>
        <w:rPr>
          <w:rFonts w:cs="Calibri" w:cstheme="minorAscii"/>
        </w:rPr>
        <w:t xml:space="preserve"> </w:t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  <w:t xml:space="preserve">2.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/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  <w:t>3.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  <w:t xml:space="preserve">4.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Ascii"/>
          <w:b/>
          <w:bCs/>
        </w:rPr>
        <w:t>PODERÁ SER NECESSÁRIA A INFUSÃO DE SANGUE E SEUS COMPONENTES (TRANSFUSÃO DE SANGUE) NO PACIENTE</w:t>
      </w:r>
      <w:r>
        <w:rPr>
          <w:rFonts w:cs="Calibri" w:cstheme="minorAsci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criopreciptado,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/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  <w:t>5. A realização de outros procedimentos invasivos, terapias alternativas e os registros fotográficos da pele ou lesões, caso ocorram, ficarão limitados aos profissionais de saúde do Instituto Orizonti.</w:t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/>
      </w:r>
    </w:p>
    <w:p>
      <w:pPr>
        <w:pStyle w:val="BodyText"/>
        <w:widowControl/>
        <w:suppressAutoHyphens w:val="true"/>
        <w:bidi w:val="0"/>
        <w:spacing w:lineRule="auto" w:line="276" w:before="0" w:after="140"/>
        <w:ind w:hanging="0" w:left="-567" w:right="0"/>
        <w:jc w:val="left"/>
        <w:rPr>
          <w:rFonts w:ascii="Calibri" w:hAnsi="Calibri" w:eastAsia="Calibri" w:cs="Calibri" w:cstheme="minorAsci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Ascii"/>
          <w:color w:val="auto"/>
          <w:kern w:val="0"/>
          <w:sz w:val="22"/>
          <w:szCs w:val="22"/>
          <w:lang w:val="pt-BR" w:eastAsia="en-US" w:bidi="ar-SA"/>
        </w:rPr>
        <w:t>6. Autorizo a divulgação das informações médicas contidas em meu prontuário, exclusivamente para finalidade científica da Instituição, desde que minha identidade permaneça anônima.</w:t>
      </w:r>
    </w:p>
    <w:p>
      <w:pPr>
        <w:pStyle w:val="BodyText"/>
        <w:widowControl/>
        <w:suppressAutoHyphens w:val="true"/>
        <w:bidi w:val="0"/>
        <w:spacing w:lineRule="auto" w:line="276" w:before="0" w:after="140"/>
        <w:ind w:hanging="0" w:left="-567" w:right="0"/>
        <w:jc w:val="left"/>
        <w:rPr>
          <w:rFonts w:ascii="Calibri" w:hAnsi="Calibri" w:eastAsia="Calibri" w:cs="Calibri" w:cstheme="minorAsci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Ascii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BodyText"/>
        <w:widowControl/>
        <w:suppressAutoHyphens w:val="true"/>
        <w:bidi w:val="0"/>
        <w:spacing w:lineRule="auto" w:line="276" w:before="0" w:after="140"/>
        <w:ind w:hanging="0" w:left="-567" w:right="0"/>
        <w:jc w:val="left"/>
        <w:rPr>
          <w:rFonts w:ascii="Calibri" w:hAnsi="Calibri" w:eastAsia="Calibri" w:cs="Calibri" w:cstheme="minorAsci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Ascii"/>
          <w:color w:val="auto"/>
          <w:kern w:val="0"/>
          <w:sz w:val="22"/>
          <w:szCs w:val="22"/>
          <w:lang w:val="pt-BR" w:eastAsia="en-US" w:bidi="ar-SA"/>
        </w:rPr>
        <w:t>7.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BodyText"/>
        <w:widowControl/>
        <w:suppressAutoHyphens w:val="true"/>
        <w:bidi w:val="0"/>
        <w:spacing w:lineRule="auto" w:line="276" w:before="0" w:after="140"/>
        <w:ind w:hanging="0" w:left="-567" w:right="0"/>
        <w:jc w:val="left"/>
        <w:rPr>
          <w:rFonts w:ascii="Calibri" w:hAnsi="Calibri" w:eastAsia="Calibri" w:cs="Calibri" w:cstheme="minorAsci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Ascii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Padro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3"/>
      <w:footerReference w:type="default" r:id="rId4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hanging="0"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b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hanging="0"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auziovarella.uol.com.br/anestesiologia/quais-sao-os-tipos-de-anestesia-e-sedacao-mais-utilizados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LibreOffice/7.6.2.1$Windows_X86_64 LibreOffice_project/56f7684011345957bbf33a7ee678afaf4d2ba333</Application>
  <AppVersion>15.0000</AppVersion>
  <Pages>4</Pages>
  <Words>1240</Words>
  <Characters>8263</Characters>
  <CharactersWithSpaces>9445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2024-01-17T13:26:32Z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